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2A" w:rsidRPr="00715C47" w:rsidRDefault="00D9172A" w:rsidP="00D9172A">
      <w:pPr>
        <w:pStyle w:val="Heading4"/>
        <w:rPr>
          <w:lang w:val="mi-NZ"/>
        </w:rPr>
      </w:pPr>
      <w:bookmarkStart w:id="0" w:name="_GoBack"/>
      <w:bookmarkEnd w:id="0"/>
      <w:r>
        <w:rPr>
          <w:noProof/>
          <w:lang w:eastAsia="en-NZ"/>
        </w:rPr>
        <w:drawing>
          <wp:inline distT="0" distB="0" distL="0" distR="0" wp14:anchorId="3E0C8A69" wp14:editId="0226C566">
            <wp:extent cx="2353004" cy="83831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DI.png"/>
                    <pic:cNvPicPr/>
                  </pic:nvPicPr>
                  <pic:blipFill>
                    <a:blip r:embed="rId9">
                      <a:extLst>
                        <a:ext uri="{28A0092B-C50C-407E-A947-70E740481C1C}">
                          <a14:useLocalDpi xmlns:a14="http://schemas.microsoft.com/office/drawing/2010/main" val="0"/>
                        </a:ext>
                      </a:extLst>
                    </a:blip>
                    <a:stretch>
                      <a:fillRect/>
                    </a:stretch>
                  </pic:blipFill>
                  <pic:spPr>
                    <a:xfrm>
                      <a:off x="0" y="0"/>
                      <a:ext cx="2353004" cy="838317"/>
                    </a:xfrm>
                    <a:prstGeom prst="rect">
                      <a:avLst/>
                    </a:prstGeom>
                  </pic:spPr>
                </pic:pic>
              </a:graphicData>
            </a:graphic>
          </wp:inline>
        </w:drawing>
      </w:r>
      <w:r>
        <w:rPr>
          <w:lang w:val="mi-NZ"/>
        </w:rPr>
        <w:t xml:space="preserve">                              </w:t>
      </w:r>
      <w:r w:rsidRPr="00CF3933">
        <w:rPr>
          <w:noProof/>
          <w:lang w:eastAsia="en-NZ"/>
        </w:rPr>
        <w:drawing>
          <wp:inline distT="0" distB="0" distL="0" distR="0" wp14:anchorId="246F9912" wp14:editId="6850182A">
            <wp:extent cx="1885950" cy="832347"/>
            <wp:effectExtent l="0" t="0" r="0" b="6350"/>
            <wp:docPr id="4" name="Picture 4" descr="C:\Users\spiva001\AppData\Local\Microsoft\Windows\Temporary Internet Files\Content.Word\NZSL Board brand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iva001\AppData\Local\Microsoft\Windows\Temporary Internet Files\Content.Word\NZSL Board brand_CYM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832347"/>
                    </a:xfrm>
                    <a:prstGeom prst="rect">
                      <a:avLst/>
                    </a:prstGeom>
                    <a:noFill/>
                    <a:ln>
                      <a:noFill/>
                    </a:ln>
                  </pic:spPr>
                </pic:pic>
              </a:graphicData>
            </a:graphic>
          </wp:inline>
        </w:drawing>
      </w:r>
    </w:p>
    <w:p w:rsidR="00781315" w:rsidRPr="00683FCD" w:rsidRDefault="007B532B" w:rsidP="007B532B">
      <w:pPr>
        <w:pStyle w:val="Heading2"/>
        <w:tabs>
          <w:tab w:val="right" w:pos="8789"/>
        </w:tabs>
      </w:pPr>
      <w:r w:rsidRPr="00D9172A">
        <w:rPr>
          <w:rStyle w:val="Heading1Char"/>
        </w:rPr>
        <w:t>Conflict of Interest Policy</w:t>
      </w:r>
      <w:r w:rsidR="0049304E">
        <w:t xml:space="preserve"> </w:t>
      </w:r>
      <w:r>
        <w:tab/>
      </w:r>
      <w:r w:rsidR="00C436C3" w:rsidRPr="00C436C3">
        <w:rPr>
          <w:sz w:val="20"/>
          <w:szCs w:val="20"/>
        </w:rPr>
        <w:t>Approved</w:t>
      </w:r>
      <w:r w:rsidR="003C5D0C">
        <w:rPr>
          <w:sz w:val="20"/>
          <w:szCs w:val="20"/>
        </w:rPr>
        <w:t>:</w:t>
      </w:r>
      <w:r w:rsidR="00C436C3" w:rsidRPr="00C436C3">
        <w:rPr>
          <w:sz w:val="20"/>
          <w:szCs w:val="20"/>
        </w:rPr>
        <w:t xml:space="preserve"> 29 </w:t>
      </w:r>
      <w:r w:rsidR="00644FB1">
        <w:rPr>
          <w:sz w:val="20"/>
          <w:szCs w:val="20"/>
        </w:rPr>
        <w:t>Octo</w:t>
      </w:r>
      <w:r w:rsidR="00853B3E" w:rsidRPr="007B532B">
        <w:rPr>
          <w:sz w:val="20"/>
          <w:szCs w:val="20"/>
        </w:rPr>
        <w:t>ber</w:t>
      </w:r>
      <w:r w:rsidR="0039742C" w:rsidRPr="007B532B">
        <w:rPr>
          <w:sz w:val="20"/>
          <w:szCs w:val="20"/>
        </w:rPr>
        <w:t xml:space="preserve"> 2018</w:t>
      </w:r>
    </w:p>
    <w:p w:rsidR="003C5D0C" w:rsidRPr="00FB4593" w:rsidRDefault="003C5D0C" w:rsidP="003C5D0C">
      <w:pPr>
        <w:pStyle w:val="Heading2"/>
        <w:tabs>
          <w:tab w:val="right" w:pos="8789"/>
        </w:tabs>
        <w:rPr>
          <w:bCs/>
          <w:sz w:val="20"/>
          <w:szCs w:val="20"/>
        </w:rPr>
      </w:pPr>
      <w:r>
        <w:rPr>
          <w:b w:val="0"/>
          <w:bCs/>
          <w:sz w:val="20"/>
          <w:szCs w:val="20"/>
        </w:rPr>
        <w:tab/>
      </w:r>
      <w:r>
        <w:rPr>
          <w:bCs/>
          <w:sz w:val="20"/>
          <w:szCs w:val="20"/>
        </w:rPr>
        <w:t>Review by: Octo</w:t>
      </w:r>
      <w:r w:rsidRPr="00FB4593">
        <w:rPr>
          <w:bCs/>
          <w:sz w:val="20"/>
          <w:szCs w:val="20"/>
        </w:rPr>
        <w:t>ber 2020</w:t>
      </w:r>
    </w:p>
    <w:p w:rsidR="00E82B25" w:rsidRPr="00CD3E28" w:rsidRDefault="00E82B25" w:rsidP="00CD3E28">
      <w:pPr>
        <w:pStyle w:val="Heading3"/>
        <w:rPr>
          <w:lang w:val="en-AU" w:eastAsia="en-NZ"/>
        </w:rPr>
      </w:pPr>
      <w:r w:rsidRPr="00CD3E28">
        <w:rPr>
          <w:lang w:val="en-AU" w:eastAsia="en-NZ"/>
        </w:rPr>
        <w:t>Introduction</w:t>
      </w:r>
    </w:p>
    <w:p w:rsidR="00E82B25" w:rsidRDefault="00E82B25" w:rsidP="00746F2E">
      <w:pPr>
        <w:pStyle w:val="ListParagraph"/>
        <w:numPr>
          <w:ilvl w:val="0"/>
          <w:numId w:val="25"/>
        </w:numPr>
        <w:spacing w:before="120"/>
        <w:contextualSpacing w:val="0"/>
        <w:jc w:val="both"/>
      </w:pPr>
      <w:r w:rsidRPr="00CD24FF">
        <w:t xml:space="preserve">The </w:t>
      </w:r>
      <w:r>
        <w:t xml:space="preserve">NZSL </w:t>
      </w:r>
      <w:r w:rsidRPr="00CD24FF">
        <w:t>Board is to manage</w:t>
      </w:r>
      <w:r w:rsidRPr="00CD24FF">
        <w:rPr>
          <w:bCs/>
          <w:szCs w:val="18"/>
        </w:rPr>
        <w:t xml:space="preserve"> Conflicts of Interest in accordance with </w:t>
      </w:r>
      <w:r>
        <w:rPr>
          <w:bCs/>
          <w:szCs w:val="18"/>
        </w:rPr>
        <w:t>its</w:t>
      </w:r>
      <w:r w:rsidRPr="00CD24FF">
        <w:rPr>
          <w:bCs/>
          <w:szCs w:val="18"/>
        </w:rPr>
        <w:t xml:space="preserve"> Terms of Reference. </w:t>
      </w:r>
      <w:r w:rsidRPr="00CD24FF">
        <w:t>Board rules</w:t>
      </w:r>
      <w:r>
        <w:t xml:space="preserve"> may</w:t>
      </w:r>
      <w:r w:rsidRPr="00CD24FF">
        <w:t xml:space="preserve"> prevent </w:t>
      </w:r>
      <w:r>
        <w:t>a</w:t>
      </w:r>
      <w:r w:rsidRPr="00CD24FF">
        <w:t xml:space="preserve"> member</w:t>
      </w:r>
      <w:r>
        <w:t xml:space="preserve"> with a</w:t>
      </w:r>
      <w:r w:rsidRPr="00CD24FF">
        <w:t xml:space="preserve"> </w:t>
      </w:r>
      <w:r>
        <w:t>conflict</w:t>
      </w:r>
      <w:r w:rsidRPr="00CD24FF">
        <w:t xml:space="preserve"> of interest from </w:t>
      </w:r>
      <w:r>
        <w:t xml:space="preserve">discussing and/or </w:t>
      </w:r>
      <w:r w:rsidRPr="00CD24FF">
        <w:t>voting on matter</w:t>
      </w:r>
      <w:r>
        <w:t>s related to the conflict</w:t>
      </w:r>
      <w:r w:rsidRPr="00CD24FF">
        <w:t>.</w:t>
      </w:r>
    </w:p>
    <w:p w:rsidR="00FC2D6F" w:rsidRPr="009C1ABC" w:rsidRDefault="00FC2D6F" w:rsidP="000348C5">
      <w:pPr>
        <w:pStyle w:val="MEDbullet"/>
        <w:tabs>
          <w:tab w:val="right" w:pos="8931"/>
        </w:tabs>
        <w:spacing w:before="60"/>
        <w:ind w:firstLine="0"/>
        <w:rPr>
          <w:rFonts w:eastAsia="Times New Roman" w:cs="Arial"/>
          <w:i/>
          <w:sz w:val="20"/>
        </w:rPr>
      </w:pPr>
      <w:r w:rsidRPr="009C1ABC">
        <w:rPr>
          <w:rFonts w:eastAsia="Times New Roman" w:cs="Arial"/>
          <w:i/>
          <w:sz w:val="20"/>
        </w:rPr>
        <w:t xml:space="preserve">“In a small country like ours, conflicts of interest in our working lives are natural and unavoidable. The existence of a conflict of interest does not necessarily mean that someone has done something wrong, and it need not cause problems. It just needs to be identified and managed </w:t>
      </w:r>
      <w:r>
        <w:rPr>
          <w:rFonts w:eastAsia="Times New Roman" w:cs="Arial"/>
          <w:i/>
          <w:sz w:val="20"/>
        </w:rPr>
        <w:t>carefully.”</w:t>
      </w:r>
      <w:r w:rsidR="000348C5">
        <w:rPr>
          <w:rFonts w:eastAsia="Times New Roman" w:cs="Arial"/>
          <w:i/>
          <w:sz w:val="20"/>
        </w:rPr>
        <w:tab/>
      </w:r>
      <w:r w:rsidR="000348C5" w:rsidRPr="00FC2D6F">
        <w:rPr>
          <w:rFonts w:eastAsia="Times New Roman"/>
        </w:rPr>
        <w:t>Controller &amp; Auditor-General</w:t>
      </w:r>
    </w:p>
    <w:p w:rsidR="00E82B25" w:rsidRPr="00CD3E28" w:rsidRDefault="00E82B25" w:rsidP="00CD3E28">
      <w:pPr>
        <w:pStyle w:val="Heading3"/>
        <w:rPr>
          <w:lang w:val="en-AU" w:eastAsia="en-NZ"/>
        </w:rPr>
      </w:pPr>
      <w:r w:rsidRPr="00CD3E28">
        <w:rPr>
          <w:lang w:val="en-AU" w:eastAsia="en-NZ"/>
        </w:rPr>
        <w:t>Expectation of Board Members</w:t>
      </w:r>
    </w:p>
    <w:p w:rsidR="00E82B25" w:rsidRDefault="00E82B25" w:rsidP="00746F2E">
      <w:pPr>
        <w:pStyle w:val="ListParagraph"/>
        <w:numPr>
          <w:ilvl w:val="0"/>
          <w:numId w:val="25"/>
        </w:numPr>
        <w:spacing w:before="120"/>
        <w:contextualSpacing w:val="0"/>
        <w:jc w:val="both"/>
      </w:pPr>
      <w:r>
        <w:t xml:space="preserve">All members of the NZSL Board are expected to act in the best interest of the NZSL Board’s purpose as set out in its Terms of Reference. </w:t>
      </w:r>
      <w:r w:rsidRPr="00CF3E4B">
        <w:t xml:space="preserve">Members </w:t>
      </w:r>
      <w:r w:rsidRPr="001408FD">
        <w:t>are appointed as individuals with knowledge and expertise of NZSL</w:t>
      </w:r>
      <w:r w:rsidRPr="00CF3E4B">
        <w:t xml:space="preserve"> </w:t>
      </w:r>
      <w:r>
        <w:t xml:space="preserve">and </w:t>
      </w:r>
      <w:r w:rsidRPr="001408FD">
        <w:t>are expected to use their networks to understand and communicate the views of the community</w:t>
      </w:r>
      <w:r w:rsidRPr="00CF3E4B">
        <w:t xml:space="preserve">, </w:t>
      </w:r>
      <w:r>
        <w:t xml:space="preserve">but </w:t>
      </w:r>
      <w:r w:rsidRPr="001408FD">
        <w:t>are expected to govern on behalf of all stakeholders</w:t>
      </w:r>
      <w:r>
        <w:t xml:space="preserve">, working together to achieve the best strategic outcomes for </w:t>
      </w:r>
      <w:r w:rsidRPr="00CF3E4B">
        <w:t>the Board.</w:t>
      </w:r>
    </w:p>
    <w:p w:rsidR="00D413A8" w:rsidRPr="002B6453" w:rsidRDefault="00D413A8" w:rsidP="00D413A8">
      <w:pPr>
        <w:pStyle w:val="Heading3"/>
        <w:rPr>
          <w:lang w:val="en-AU" w:eastAsia="en-NZ"/>
        </w:rPr>
      </w:pPr>
      <w:r>
        <w:rPr>
          <w:lang w:val="en-AU" w:eastAsia="en-NZ"/>
        </w:rPr>
        <w:t>Register of I</w:t>
      </w:r>
      <w:r w:rsidRPr="002B6453">
        <w:rPr>
          <w:lang w:val="en-AU" w:eastAsia="en-NZ"/>
        </w:rPr>
        <w:t>nterests</w:t>
      </w:r>
    </w:p>
    <w:p w:rsidR="00D413A8" w:rsidRPr="00CF3E4B" w:rsidRDefault="00D413A8" w:rsidP="00D413A8">
      <w:pPr>
        <w:pStyle w:val="ListParagraph"/>
        <w:numPr>
          <w:ilvl w:val="0"/>
          <w:numId w:val="28"/>
        </w:numPr>
        <w:spacing w:before="120"/>
        <w:contextualSpacing w:val="0"/>
        <w:jc w:val="both"/>
      </w:pPr>
      <w:r>
        <w:t xml:space="preserve">The </w:t>
      </w:r>
      <w:r w:rsidRPr="00CD24FF">
        <w:t>Secretariat</w:t>
      </w:r>
      <w:r>
        <w:t xml:space="preserve"> will hold a register of interests. This will be stored such that all Board members can access it at all times (e.g. hosted on Box.com).</w:t>
      </w:r>
      <w:r w:rsidRPr="00CD24FF">
        <w:t xml:space="preserve"> </w:t>
      </w:r>
      <w:r>
        <w:t>The register</w:t>
      </w:r>
      <w:r w:rsidRPr="00CD24FF">
        <w:t xml:space="preserve"> will be updated for each </w:t>
      </w:r>
      <w:r>
        <w:t xml:space="preserve">Board </w:t>
      </w:r>
      <w:r>
        <w:rPr>
          <w:lang w:val="en-AU" w:eastAsia="en-NZ"/>
        </w:rPr>
        <w:t xml:space="preserve">or Board sub-committee </w:t>
      </w:r>
      <w:r w:rsidRPr="00CD24FF">
        <w:t>meeting.</w:t>
      </w:r>
    </w:p>
    <w:p w:rsidR="00D413A8" w:rsidRDefault="00D413A8" w:rsidP="00D413A8">
      <w:pPr>
        <w:pStyle w:val="ListParagraph"/>
        <w:numPr>
          <w:ilvl w:val="0"/>
          <w:numId w:val="28"/>
        </w:numPr>
        <w:spacing w:before="120"/>
        <w:contextualSpacing w:val="0"/>
        <w:jc w:val="both"/>
        <w:rPr>
          <w:lang w:val="en-AU" w:eastAsia="en-NZ"/>
        </w:rPr>
      </w:pPr>
      <w:r w:rsidRPr="008C6257">
        <w:rPr>
          <w:lang w:val="en-AU" w:eastAsia="en-NZ"/>
        </w:rPr>
        <w:t>NZSL Board members are required to declare any interest</w:t>
      </w:r>
      <w:r>
        <w:rPr>
          <w:lang w:val="en-AU" w:eastAsia="en-NZ"/>
        </w:rPr>
        <w:t>s</w:t>
      </w:r>
      <w:r w:rsidRPr="008C6257">
        <w:rPr>
          <w:lang w:val="en-AU" w:eastAsia="en-NZ"/>
        </w:rPr>
        <w:t xml:space="preserve"> to the</w:t>
      </w:r>
      <w:r>
        <w:rPr>
          <w:lang w:val="en-AU" w:eastAsia="en-NZ"/>
        </w:rPr>
        <w:t xml:space="preserve"> Secretariat, and</w:t>
      </w:r>
      <w:r w:rsidRPr="00746F2E">
        <w:rPr>
          <w:lang w:val="en-AU" w:eastAsia="en-NZ"/>
        </w:rPr>
        <w:t xml:space="preserve"> </w:t>
      </w:r>
      <w:r w:rsidRPr="008C6257">
        <w:rPr>
          <w:lang w:val="en-AU" w:eastAsia="en-NZ"/>
        </w:rPr>
        <w:t>to</w:t>
      </w:r>
      <w:r>
        <w:rPr>
          <w:lang w:val="en-AU" w:eastAsia="en-NZ"/>
        </w:rPr>
        <w:t xml:space="preserve"> notify the Secretariat whenever there is a change of interests</w:t>
      </w:r>
    </w:p>
    <w:p w:rsidR="00D413A8" w:rsidRPr="0075336A" w:rsidRDefault="004D3940" w:rsidP="00D413A8">
      <w:pPr>
        <w:pStyle w:val="ListParagraph"/>
        <w:numPr>
          <w:ilvl w:val="0"/>
          <w:numId w:val="28"/>
        </w:numPr>
        <w:spacing w:before="120"/>
        <w:contextualSpacing w:val="0"/>
        <w:jc w:val="both"/>
        <w:rPr>
          <w:lang w:val="en-AU" w:eastAsia="en-NZ"/>
        </w:rPr>
      </w:pPr>
      <w:r>
        <w:t xml:space="preserve">Disclosure of memberships </w:t>
      </w:r>
      <w:r w:rsidRPr="00855412">
        <w:rPr>
          <w:lang w:val="en-AU" w:eastAsia="en-NZ"/>
        </w:rPr>
        <w:t>(e.g.</w:t>
      </w:r>
      <w:r>
        <w:rPr>
          <w:lang w:val="en-AU" w:eastAsia="en-NZ"/>
        </w:rPr>
        <w:t xml:space="preserve"> of</w:t>
      </w:r>
      <w:r w:rsidRPr="00855412">
        <w:rPr>
          <w:lang w:val="en-AU" w:eastAsia="en-NZ"/>
        </w:rPr>
        <w:t xml:space="preserve"> NZSLTA)</w:t>
      </w:r>
      <w:r>
        <w:t xml:space="preserve"> </w:t>
      </w:r>
      <w:r w:rsidRPr="009939B1">
        <w:t xml:space="preserve">is not </w:t>
      </w:r>
      <w:r>
        <w:t>necessarily required.</w:t>
      </w:r>
      <w:r w:rsidRPr="00855412">
        <w:rPr>
          <w:lang w:val="en-AU" w:eastAsia="en-NZ"/>
        </w:rPr>
        <w:t xml:space="preserve"> </w:t>
      </w:r>
      <w:r w:rsidR="00D413A8" w:rsidRPr="00855412">
        <w:rPr>
          <w:lang w:val="en-AU" w:eastAsia="en-NZ"/>
        </w:rPr>
        <w:t xml:space="preserve">Include professional memberships that appear likely to require consideration by the Board when relevant agenda items arise. </w:t>
      </w:r>
      <w:r>
        <w:rPr>
          <w:szCs w:val="18"/>
        </w:rPr>
        <w:t>Raise these as potential conflicts when relevant (e.g. before any relevant funding considerations).</w:t>
      </w:r>
    </w:p>
    <w:p w:rsidR="00D413A8" w:rsidRPr="0075336A" w:rsidRDefault="00D413A8" w:rsidP="00D413A8">
      <w:pPr>
        <w:pStyle w:val="ListParagraph"/>
        <w:numPr>
          <w:ilvl w:val="0"/>
          <w:numId w:val="28"/>
        </w:numPr>
        <w:spacing w:before="120"/>
        <w:contextualSpacing w:val="0"/>
        <w:jc w:val="both"/>
        <w:rPr>
          <w:lang w:val="en-AU" w:eastAsia="en-NZ"/>
        </w:rPr>
      </w:pPr>
      <w:r w:rsidRPr="00855412">
        <w:rPr>
          <w:lang w:val="en-AU" w:eastAsia="en-NZ"/>
        </w:rPr>
        <w:t>Include personal relationships (e.g. family relationships) only if they are in a position of influence within the Deaf community (e.g. my partner is President of xxx Deaf Club)</w:t>
      </w:r>
      <w:r w:rsidR="000348C5">
        <w:rPr>
          <w:lang w:val="en-AU" w:eastAsia="en-NZ"/>
        </w:rPr>
        <w:t>,</w:t>
      </w:r>
      <w:r w:rsidR="000348C5" w:rsidRPr="000348C5">
        <w:rPr>
          <w:szCs w:val="18"/>
        </w:rPr>
        <w:t xml:space="preserve"> </w:t>
      </w:r>
      <w:r w:rsidR="000348C5">
        <w:rPr>
          <w:szCs w:val="18"/>
        </w:rPr>
        <w:t>or eligible to benefit directly from funding recommendations made by the Board</w:t>
      </w:r>
      <w:r w:rsidRPr="00855412">
        <w:rPr>
          <w:lang w:val="en-AU" w:eastAsia="en-NZ"/>
        </w:rPr>
        <w:t xml:space="preserve">. </w:t>
      </w:r>
    </w:p>
    <w:p w:rsidR="00D413A8" w:rsidRDefault="00D413A8" w:rsidP="00D413A8">
      <w:pPr>
        <w:pStyle w:val="ListParagraph"/>
        <w:numPr>
          <w:ilvl w:val="0"/>
          <w:numId w:val="28"/>
        </w:numPr>
        <w:spacing w:before="120"/>
        <w:contextualSpacing w:val="0"/>
        <w:jc w:val="both"/>
        <w:rPr>
          <w:lang w:val="en-AU" w:eastAsia="en-NZ"/>
        </w:rPr>
      </w:pPr>
      <w:r>
        <w:rPr>
          <w:lang w:val="en-AU" w:eastAsia="en-NZ"/>
        </w:rPr>
        <w:t>Additional interests may be included where relevant to particular agenda items, even though they may not have been previously identified as relevant.</w:t>
      </w:r>
    </w:p>
    <w:p w:rsidR="00D413A8" w:rsidRPr="00D97CCC" w:rsidRDefault="00D413A8" w:rsidP="00CD3E28">
      <w:pPr>
        <w:spacing w:after="200"/>
        <w:ind w:left="426"/>
        <w:rPr>
          <w:lang w:val="en-AU" w:eastAsia="en-NZ"/>
        </w:rPr>
      </w:pPr>
      <w:r w:rsidRPr="00D97CCC">
        <w:rPr>
          <w:b/>
          <w:lang w:val="en-AU" w:eastAsia="en-NZ"/>
        </w:rPr>
        <w:t>General guidance</w:t>
      </w:r>
      <w:r>
        <w:rPr>
          <w:lang w:val="en-AU" w:eastAsia="en-NZ"/>
        </w:rPr>
        <w:t xml:space="preserve">: It is better to declare an interest and have it considered, than to leave an interest to question by not declaring it. For all that the general list of interests should not be encumbered with interests that are likely to never be relevant to Board agenda items or interests. </w:t>
      </w:r>
    </w:p>
    <w:p w:rsidR="00E82B25" w:rsidRPr="00CD3E28" w:rsidRDefault="00746F2E" w:rsidP="00CD3E28">
      <w:pPr>
        <w:pStyle w:val="Heading3"/>
        <w:rPr>
          <w:lang w:val="en-AU" w:eastAsia="en-NZ"/>
        </w:rPr>
      </w:pPr>
      <w:r w:rsidRPr="00CD3E28">
        <w:rPr>
          <w:lang w:val="en-AU" w:eastAsia="en-NZ"/>
        </w:rPr>
        <w:t>Identifying</w:t>
      </w:r>
      <w:r w:rsidR="00E82B25" w:rsidRPr="00CD3E28">
        <w:rPr>
          <w:lang w:val="en-AU" w:eastAsia="en-NZ"/>
        </w:rPr>
        <w:t xml:space="preserve"> Conflicts of Interest</w:t>
      </w:r>
    </w:p>
    <w:p w:rsidR="00E82B25" w:rsidRPr="005372FE" w:rsidRDefault="00E82B25" w:rsidP="004D3940">
      <w:pPr>
        <w:pStyle w:val="ListParagraph"/>
        <w:numPr>
          <w:ilvl w:val="0"/>
          <w:numId w:val="28"/>
        </w:numPr>
        <w:spacing w:before="120"/>
        <w:contextualSpacing w:val="0"/>
        <w:jc w:val="both"/>
      </w:pPr>
      <w:r>
        <w:rPr>
          <w:bCs/>
          <w:szCs w:val="18"/>
        </w:rPr>
        <w:t xml:space="preserve">Conflicts may arise when a member’s </w:t>
      </w:r>
      <w:r w:rsidR="004D3940">
        <w:t>personal or business interests or obligations do, could, or could be perceived to, conflict with their obligations as an NZSL Board member.</w:t>
      </w:r>
      <w:r w:rsidR="004D3940" w:rsidRPr="004D3940">
        <w:t xml:space="preserve"> </w:t>
      </w:r>
      <w:r w:rsidR="004D3940">
        <w:t xml:space="preserve">It means their independence, objectivity or impartiality can be called into question and </w:t>
      </w:r>
      <w:r w:rsidR="004D3940">
        <w:rPr>
          <w:bCs/>
          <w:szCs w:val="18"/>
        </w:rPr>
        <w:t>that</w:t>
      </w:r>
      <w:r w:rsidRPr="004D3940">
        <w:rPr>
          <w:bCs/>
          <w:szCs w:val="18"/>
        </w:rPr>
        <w:t xml:space="preserve"> they may </w:t>
      </w:r>
      <w:r w:rsidRPr="004D3940">
        <w:rPr>
          <w:bCs/>
          <w:szCs w:val="18"/>
        </w:rPr>
        <w:lastRenderedPageBreak/>
        <w:t xml:space="preserve">not able to </w:t>
      </w:r>
      <w:r>
        <w:t>meet the expectation that they will act in the best interest of the NZSL Board’s purpose</w:t>
      </w:r>
      <w:r w:rsidRPr="004D3940">
        <w:rPr>
          <w:bCs/>
          <w:szCs w:val="18"/>
        </w:rPr>
        <w:t>. A conflict may result in either benefit or gain to the conflicted member.</w:t>
      </w:r>
    </w:p>
    <w:p w:rsidR="00E82B25" w:rsidRDefault="00E82B25" w:rsidP="00FC2D6F">
      <w:pPr>
        <w:tabs>
          <w:tab w:val="left" w:pos="851"/>
        </w:tabs>
        <w:spacing w:before="120" w:line="240" w:lineRule="auto"/>
        <w:ind w:left="2127" w:hanging="1418"/>
        <w:jc w:val="both"/>
      </w:pPr>
      <w:r>
        <w:rPr>
          <w:noProof/>
          <w:lang w:eastAsia="en-NZ"/>
        </w:rPr>
        <w:drawing>
          <wp:inline distT="0" distB="0" distL="0" distR="0" wp14:anchorId="12999FF5" wp14:editId="2A9A26C6">
            <wp:extent cx="484496" cy="533341"/>
            <wp:effectExtent l="0" t="0" r="0" b="635"/>
            <wp:docPr id="2" name="Picture 2" descr="Benefit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efit 18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466" cy="533308"/>
                    </a:xfrm>
                    <a:prstGeom prst="rect">
                      <a:avLst/>
                    </a:prstGeom>
                    <a:noFill/>
                    <a:ln>
                      <a:noFill/>
                    </a:ln>
                  </pic:spPr>
                </pic:pic>
              </a:graphicData>
            </a:graphic>
          </wp:inline>
        </w:drawing>
      </w:r>
      <w:r>
        <w:t xml:space="preserve"> </w:t>
      </w:r>
      <w:r>
        <w:tab/>
        <w:t>A benefit is usually monetary, such as through an employment or contracting interest.</w:t>
      </w:r>
    </w:p>
    <w:p w:rsidR="00E82B25" w:rsidRPr="00B237BD" w:rsidRDefault="00E82B25" w:rsidP="00FC2D6F">
      <w:pPr>
        <w:tabs>
          <w:tab w:val="left" w:pos="851"/>
        </w:tabs>
        <w:spacing w:before="120" w:line="240" w:lineRule="auto"/>
        <w:ind w:left="2127" w:hanging="1418"/>
        <w:jc w:val="both"/>
        <w:rPr>
          <w:noProof/>
        </w:rPr>
      </w:pPr>
      <w:r>
        <w:rPr>
          <w:noProof/>
          <w:lang w:eastAsia="en-NZ"/>
        </w:rPr>
        <w:drawing>
          <wp:inline distT="0" distB="0" distL="0" distR="0" wp14:anchorId="76CE54ED" wp14:editId="649D0C3B">
            <wp:extent cx="340534" cy="593678"/>
            <wp:effectExtent l="0" t="0" r="2540" b="0"/>
            <wp:docPr id="1" name="Picture 1" descr="Benefit from 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t from 56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904" cy="601296"/>
                    </a:xfrm>
                    <a:prstGeom prst="rect">
                      <a:avLst/>
                    </a:prstGeom>
                    <a:noFill/>
                    <a:ln>
                      <a:noFill/>
                    </a:ln>
                  </pic:spPr>
                </pic:pic>
              </a:graphicData>
            </a:graphic>
          </wp:inline>
        </w:drawing>
      </w:r>
      <w:r>
        <w:rPr>
          <w:noProof/>
        </w:rPr>
        <w:tab/>
        <w:t>A gain may be by influence (e.g. of decisions), advantage (e.g. access to information or</w:t>
      </w:r>
      <w:r w:rsidRPr="00AB5A65">
        <w:rPr>
          <w:noProof/>
        </w:rPr>
        <w:t xml:space="preserve"> </w:t>
      </w:r>
      <w:r>
        <w:rPr>
          <w:noProof/>
        </w:rPr>
        <w:t>contracting opportunities) or reputation.</w:t>
      </w:r>
    </w:p>
    <w:p w:rsidR="00746F2E" w:rsidRPr="00746F2E" w:rsidRDefault="00E82B25" w:rsidP="00D413A8">
      <w:pPr>
        <w:pStyle w:val="ListParagraph"/>
        <w:numPr>
          <w:ilvl w:val="0"/>
          <w:numId w:val="28"/>
        </w:numPr>
        <w:spacing w:before="120"/>
        <w:contextualSpacing w:val="0"/>
        <w:jc w:val="both"/>
      </w:pPr>
      <w:r w:rsidRPr="00CD24FF">
        <w:rPr>
          <w:bCs/>
          <w:szCs w:val="18"/>
        </w:rPr>
        <w:t xml:space="preserve">Conflicts of Interest </w:t>
      </w:r>
      <w:r>
        <w:rPr>
          <w:bCs/>
          <w:szCs w:val="18"/>
        </w:rPr>
        <w:t>may be</w:t>
      </w:r>
      <w:r w:rsidR="00746F2E">
        <w:rPr>
          <w:bCs/>
          <w:szCs w:val="18"/>
        </w:rPr>
        <w:t>:</w:t>
      </w:r>
      <w:r>
        <w:rPr>
          <w:bCs/>
          <w:szCs w:val="18"/>
        </w:rPr>
        <w:t xml:space="preserve"> </w:t>
      </w:r>
    </w:p>
    <w:p w:rsidR="00746F2E" w:rsidRPr="00746F2E" w:rsidRDefault="00E82B25" w:rsidP="00746F2E">
      <w:pPr>
        <w:pStyle w:val="ListParagraph"/>
        <w:numPr>
          <w:ilvl w:val="0"/>
          <w:numId w:val="26"/>
        </w:numPr>
        <w:spacing w:before="120"/>
        <w:jc w:val="both"/>
      </w:pPr>
      <w:r w:rsidRPr="00746F2E">
        <w:rPr>
          <w:bCs/>
          <w:szCs w:val="18"/>
        </w:rPr>
        <w:t>direct (they may</w:t>
      </w:r>
      <w:r w:rsidR="00746F2E">
        <w:rPr>
          <w:bCs/>
          <w:szCs w:val="18"/>
        </w:rPr>
        <w:t xml:space="preserve"> benefit or gain personally) </w:t>
      </w:r>
    </w:p>
    <w:p w:rsidR="00746F2E" w:rsidRPr="00746F2E" w:rsidRDefault="00E82B25" w:rsidP="00746F2E">
      <w:pPr>
        <w:pStyle w:val="ListParagraph"/>
        <w:numPr>
          <w:ilvl w:val="0"/>
          <w:numId w:val="26"/>
        </w:numPr>
        <w:spacing w:before="120"/>
        <w:jc w:val="both"/>
      </w:pPr>
      <w:r w:rsidRPr="00746F2E">
        <w:rPr>
          <w:bCs/>
          <w:szCs w:val="18"/>
        </w:rPr>
        <w:t>indirect (another party, such as partner or famil</w:t>
      </w:r>
      <w:r w:rsidR="00746F2E">
        <w:rPr>
          <w:bCs/>
          <w:szCs w:val="18"/>
        </w:rPr>
        <w:t>y member, may benefit or gain).</w:t>
      </w:r>
    </w:p>
    <w:p w:rsidR="00E82B25" w:rsidRPr="005372FE" w:rsidRDefault="00746F2E" w:rsidP="00D413A8">
      <w:pPr>
        <w:pStyle w:val="ListParagraph"/>
        <w:numPr>
          <w:ilvl w:val="0"/>
          <w:numId w:val="28"/>
        </w:numPr>
        <w:spacing w:before="120"/>
        <w:contextualSpacing w:val="0"/>
        <w:jc w:val="both"/>
      </w:pPr>
      <w:r w:rsidRPr="00CD24FF">
        <w:rPr>
          <w:bCs/>
          <w:szCs w:val="18"/>
        </w:rPr>
        <w:t xml:space="preserve">Conflicts of Interest </w:t>
      </w:r>
      <w:r>
        <w:rPr>
          <w:bCs/>
          <w:szCs w:val="18"/>
        </w:rPr>
        <w:t xml:space="preserve">actual, </w:t>
      </w:r>
      <w:r w:rsidR="00E82B25">
        <w:rPr>
          <w:bCs/>
          <w:szCs w:val="18"/>
        </w:rPr>
        <w:t xml:space="preserve">potential, or perceived. </w:t>
      </w:r>
    </w:p>
    <w:p w:rsidR="00746F2E" w:rsidRDefault="00746F2E" w:rsidP="00746F2E">
      <w:pPr>
        <w:pStyle w:val="ListParagraph"/>
        <w:numPr>
          <w:ilvl w:val="0"/>
          <w:numId w:val="22"/>
        </w:numPr>
        <w:spacing w:after="200"/>
        <w:rPr>
          <w:lang w:val="en-AU" w:eastAsia="en-NZ"/>
        </w:rPr>
      </w:pPr>
      <w:r w:rsidRPr="00D97CCC">
        <w:rPr>
          <w:lang w:val="en-AU" w:eastAsia="en-NZ"/>
        </w:rPr>
        <w:t>Actual</w:t>
      </w:r>
      <w:r>
        <w:rPr>
          <w:lang w:val="en-AU" w:eastAsia="en-NZ"/>
        </w:rPr>
        <w:t xml:space="preserve"> – the member has an interest which conflicts with their role as a Board member.</w:t>
      </w:r>
    </w:p>
    <w:p w:rsidR="00746F2E" w:rsidRDefault="00746F2E" w:rsidP="00746F2E">
      <w:pPr>
        <w:pStyle w:val="ListParagraph"/>
        <w:numPr>
          <w:ilvl w:val="0"/>
          <w:numId w:val="22"/>
        </w:numPr>
        <w:spacing w:after="200"/>
        <w:rPr>
          <w:lang w:val="en-AU" w:eastAsia="en-NZ"/>
        </w:rPr>
      </w:pPr>
      <w:r>
        <w:rPr>
          <w:lang w:val="en-AU" w:eastAsia="en-NZ"/>
        </w:rPr>
        <w:t>Potential - the member has an interest which is about to or could conflict with their role as a Board member, but doesn’t currently do so.</w:t>
      </w:r>
      <w:r w:rsidRPr="00850540">
        <w:rPr>
          <w:rFonts w:eastAsia="Times New Roman"/>
        </w:rPr>
        <w:t xml:space="preserve"> </w:t>
      </w:r>
    </w:p>
    <w:p w:rsidR="00746F2E" w:rsidRPr="00850540" w:rsidRDefault="00746F2E" w:rsidP="00746F2E">
      <w:pPr>
        <w:pStyle w:val="ListParagraph"/>
        <w:numPr>
          <w:ilvl w:val="0"/>
          <w:numId w:val="22"/>
        </w:numPr>
        <w:spacing w:after="200"/>
        <w:rPr>
          <w:lang w:val="en-AU" w:eastAsia="en-NZ"/>
        </w:rPr>
      </w:pPr>
      <w:r>
        <w:rPr>
          <w:lang w:val="en-AU" w:eastAsia="en-NZ"/>
        </w:rPr>
        <w:t xml:space="preserve">Perceived - the member does not have an interest which conflicts with their role as a Board member, but other people </w:t>
      </w:r>
      <w:r w:rsidRPr="009C1ABC">
        <w:rPr>
          <w:rFonts w:eastAsia="Times New Roman"/>
        </w:rPr>
        <w:t xml:space="preserve">might reasonably think </w:t>
      </w:r>
      <w:r>
        <w:rPr>
          <w:rFonts w:eastAsia="Times New Roman"/>
        </w:rPr>
        <w:t>they do, or that they are</w:t>
      </w:r>
      <w:r w:rsidRPr="00850540">
        <w:rPr>
          <w:rFonts w:eastAsia="Times New Roman"/>
        </w:rPr>
        <w:t xml:space="preserve"> </w:t>
      </w:r>
      <w:r w:rsidRPr="009C1ABC">
        <w:rPr>
          <w:rFonts w:eastAsia="Times New Roman"/>
        </w:rPr>
        <w:t>not being objective</w:t>
      </w:r>
      <w:r>
        <w:rPr>
          <w:rFonts w:eastAsia="Times New Roman"/>
        </w:rPr>
        <w:t>.</w:t>
      </w:r>
    </w:p>
    <w:p w:rsidR="00E82B25" w:rsidRPr="00B237BD" w:rsidRDefault="00E82B25" w:rsidP="00D413A8">
      <w:pPr>
        <w:pStyle w:val="ListParagraph"/>
        <w:numPr>
          <w:ilvl w:val="0"/>
          <w:numId w:val="28"/>
        </w:numPr>
        <w:spacing w:before="120"/>
        <w:contextualSpacing w:val="0"/>
        <w:jc w:val="both"/>
      </w:pPr>
      <w:r>
        <w:rPr>
          <w:bCs/>
          <w:szCs w:val="18"/>
        </w:rPr>
        <w:t>Further i</w:t>
      </w:r>
      <w:r w:rsidRPr="00CD24FF">
        <w:rPr>
          <w:bCs/>
          <w:szCs w:val="18"/>
        </w:rPr>
        <w:t>nformation a</w:t>
      </w:r>
      <w:r>
        <w:rPr>
          <w:bCs/>
          <w:szCs w:val="18"/>
        </w:rPr>
        <w:t>nd guidance about recognising C</w:t>
      </w:r>
      <w:r w:rsidRPr="00CD24FF">
        <w:rPr>
          <w:bCs/>
          <w:szCs w:val="18"/>
        </w:rPr>
        <w:t>onflict</w:t>
      </w:r>
      <w:r>
        <w:rPr>
          <w:bCs/>
          <w:szCs w:val="18"/>
        </w:rPr>
        <w:t>s</w:t>
      </w:r>
      <w:r w:rsidRPr="00CD24FF">
        <w:rPr>
          <w:bCs/>
          <w:szCs w:val="18"/>
        </w:rPr>
        <w:t xml:space="preserve"> of Interest </w:t>
      </w:r>
      <w:r>
        <w:rPr>
          <w:bCs/>
          <w:szCs w:val="18"/>
        </w:rPr>
        <w:t xml:space="preserve">is available </w:t>
      </w:r>
      <w:r w:rsidRPr="00CD24FF">
        <w:rPr>
          <w:bCs/>
          <w:szCs w:val="18"/>
        </w:rPr>
        <w:t xml:space="preserve">on the </w:t>
      </w:r>
      <w:r>
        <w:rPr>
          <w:bCs/>
          <w:szCs w:val="18"/>
        </w:rPr>
        <w:t>following websites:</w:t>
      </w:r>
    </w:p>
    <w:p w:rsidR="00E82B25" w:rsidRPr="00B237BD" w:rsidRDefault="00E82B25" w:rsidP="00746F2E">
      <w:pPr>
        <w:pStyle w:val="ListParagraph"/>
        <w:numPr>
          <w:ilvl w:val="0"/>
          <w:numId w:val="19"/>
        </w:numPr>
        <w:spacing w:before="120" w:line="240" w:lineRule="auto"/>
        <w:ind w:left="1134" w:hanging="357"/>
        <w:contextualSpacing w:val="0"/>
        <w:jc w:val="both"/>
      </w:pPr>
      <w:r w:rsidRPr="00B237BD">
        <w:rPr>
          <w:bCs/>
          <w:szCs w:val="18"/>
        </w:rPr>
        <w:t>State Services Commission</w:t>
      </w:r>
      <w:r w:rsidRPr="00ED3D7F">
        <w:rPr>
          <w:rStyle w:val="FootnoteReference"/>
          <w:rFonts w:ascii="Verdana" w:hAnsi="Verdana"/>
          <w:szCs w:val="20"/>
        </w:rPr>
        <w:footnoteReference w:id="1"/>
      </w:r>
      <w:r w:rsidRPr="00B237BD">
        <w:rPr>
          <w:bCs/>
          <w:szCs w:val="18"/>
          <w:vertAlign w:val="superscript"/>
        </w:rPr>
        <w:t xml:space="preserve"> </w:t>
      </w:r>
      <w:r w:rsidRPr="00B237BD">
        <w:rPr>
          <w:bCs/>
          <w:szCs w:val="18"/>
        </w:rPr>
        <w:t xml:space="preserve"> </w:t>
      </w:r>
    </w:p>
    <w:p w:rsidR="00E82B25" w:rsidRPr="00CD24FF" w:rsidRDefault="00E82B25" w:rsidP="00746F2E">
      <w:pPr>
        <w:pStyle w:val="ListParagraph"/>
        <w:numPr>
          <w:ilvl w:val="0"/>
          <w:numId w:val="19"/>
        </w:numPr>
        <w:spacing w:before="120" w:line="240" w:lineRule="auto"/>
        <w:ind w:left="1134" w:hanging="357"/>
        <w:contextualSpacing w:val="0"/>
        <w:jc w:val="both"/>
      </w:pPr>
      <w:r w:rsidRPr="00B237BD">
        <w:rPr>
          <w:bCs/>
          <w:szCs w:val="18"/>
        </w:rPr>
        <w:t xml:space="preserve">Office of the Auditor </w:t>
      </w:r>
      <w:r>
        <w:rPr>
          <w:bCs/>
          <w:szCs w:val="18"/>
        </w:rPr>
        <w:t>General</w:t>
      </w:r>
      <w:r w:rsidRPr="00ED3D7F">
        <w:rPr>
          <w:rFonts w:eastAsia="Times" w:cs="Times New Roman"/>
          <w:vertAlign w:val="superscript"/>
          <w:lang w:val="en-AU"/>
        </w:rPr>
        <w:footnoteReference w:id="2"/>
      </w:r>
      <w:r w:rsidRPr="00B237BD">
        <w:rPr>
          <w:rFonts w:eastAsia="Times" w:cs="Times New Roman"/>
          <w:vertAlign w:val="superscript"/>
          <w:lang w:val="en-AU"/>
        </w:rPr>
        <w:t>,</w:t>
      </w:r>
      <w:r w:rsidRPr="00ED3D7F">
        <w:rPr>
          <w:rStyle w:val="FootnoteReference"/>
          <w:rFonts w:ascii="Verdana" w:eastAsia="Times" w:hAnsi="Verdana"/>
          <w:szCs w:val="20"/>
          <w:lang w:val="en-AU"/>
        </w:rPr>
        <w:footnoteReference w:id="3"/>
      </w:r>
    </w:p>
    <w:p w:rsidR="00E82B25" w:rsidRPr="00B237BD" w:rsidRDefault="00E82B25" w:rsidP="00746F2E">
      <w:pPr>
        <w:pStyle w:val="ListParagraph"/>
        <w:numPr>
          <w:ilvl w:val="0"/>
          <w:numId w:val="19"/>
        </w:numPr>
        <w:spacing w:before="120" w:line="240" w:lineRule="auto"/>
        <w:ind w:left="1134" w:hanging="357"/>
        <w:contextualSpacing w:val="0"/>
        <w:jc w:val="both"/>
      </w:pPr>
      <w:r w:rsidRPr="00B237BD">
        <w:rPr>
          <w:rFonts w:eastAsia="Times" w:cs="Times New Roman"/>
          <w:lang w:val="en-AU"/>
        </w:rPr>
        <w:t>Department of Internal Affai</w:t>
      </w:r>
      <w:r>
        <w:rPr>
          <w:rFonts w:eastAsia="Times" w:cs="Times New Roman"/>
          <w:lang w:val="en-AU"/>
        </w:rPr>
        <w:t>rs (Good Practice Funding)</w:t>
      </w:r>
      <w:r w:rsidRPr="00CD24FF">
        <w:rPr>
          <w:vertAlign w:val="superscript"/>
          <w:lang w:val="en-AU"/>
        </w:rPr>
        <w:footnoteReference w:id="4"/>
      </w:r>
      <w:r>
        <w:rPr>
          <w:rFonts w:eastAsia="Times" w:cs="Times New Roman"/>
          <w:lang w:val="en-AU"/>
        </w:rPr>
        <w:t>.</w:t>
      </w:r>
      <w:r w:rsidRPr="00B237BD">
        <w:rPr>
          <w:rFonts w:ascii="Arial" w:eastAsia="Times" w:hAnsi="Arial" w:cs="Times New Roman"/>
          <w:lang w:val="en-AU"/>
        </w:rPr>
        <w:t xml:space="preserve"> </w:t>
      </w:r>
      <w:r w:rsidRPr="00B237BD">
        <w:rPr>
          <w:rFonts w:eastAsia="Times" w:cs="Times New Roman"/>
          <w:lang w:val="en-AU"/>
        </w:rPr>
        <w:t xml:space="preserve"> </w:t>
      </w:r>
    </w:p>
    <w:p w:rsidR="00D413A8" w:rsidRPr="00CD3E28" w:rsidRDefault="00D413A8" w:rsidP="00CD3E28">
      <w:pPr>
        <w:pStyle w:val="Heading3"/>
        <w:rPr>
          <w:lang w:val="en-AU" w:eastAsia="en-NZ"/>
        </w:rPr>
      </w:pPr>
      <w:r w:rsidRPr="00CD3E28">
        <w:rPr>
          <w:lang w:val="en-AU" w:eastAsia="en-NZ"/>
        </w:rPr>
        <w:t>Declaring Conflicts of Interest</w:t>
      </w:r>
    </w:p>
    <w:p w:rsidR="00746F2E" w:rsidRDefault="00746F2E" w:rsidP="00D413A8">
      <w:pPr>
        <w:pStyle w:val="ListParagraph"/>
        <w:numPr>
          <w:ilvl w:val="0"/>
          <w:numId w:val="28"/>
        </w:numPr>
        <w:spacing w:before="120"/>
        <w:contextualSpacing w:val="0"/>
        <w:jc w:val="both"/>
      </w:pPr>
      <w:r>
        <w:t xml:space="preserve">NZSL </w:t>
      </w:r>
      <w:r w:rsidRPr="00CD24FF">
        <w:t>Board members are required to</w:t>
      </w:r>
      <w:r w:rsidRPr="00FC6C27">
        <w:t xml:space="preserve"> </w:t>
      </w:r>
      <w:r w:rsidRPr="00CD24FF">
        <w:t xml:space="preserve">declare any </w:t>
      </w:r>
      <w:r>
        <w:t>conflict</w:t>
      </w:r>
      <w:r w:rsidR="00581585">
        <w:t>,</w:t>
      </w:r>
      <w:r w:rsidRPr="00CD24FF">
        <w:t xml:space="preserve"> potential </w:t>
      </w:r>
      <w:r>
        <w:t>conflict</w:t>
      </w:r>
      <w:r w:rsidRPr="00CD24FF">
        <w:t xml:space="preserve"> </w:t>
      </w:r>
      <w:r w:rsidR="00581585">
        <w:t xml:space="preserve">or </w:t>
      </w:r>
      <w:r w:rsidR="00581585">
        <w:rPr>
          <w:lang w:val="en-AU" w:eastAsia="en-NZ"/>
        </w:rPr>
        <w:t>risk of perceived conflict of interest</w:t>
      </w:r>
      <w:r w:rsidRPr="00CD24FF">
        <w:t xml:space="preserve"> to the </w:t>
      </w:r>
      <w:r>
        <w:t xml:space="preserve">NZSL Board </w:t>
      </w:r>
      <w:r w:rsidRPr="00CD24FF">
        <w:t>Secretariat</w:t>
      </w:r>
      <w:r w:rsidRPr="00FC6C27">
        <w:t xml:space="preserve"> </w:t>
      </w:r>
      <w:r>
        <w:t xml:space="preserve">in a timely and effective manner. </w:t>
      </w:r>
    </w:p>
    <w:p w:rsidR="00D413A8" w:rsidRPr="00D413A8" w:rsidRDefault="00D413A8" w:rsidP="00D413A8">
      <w:pPr>
        <w:pStyle w:val="ListParagraph"/>
        <w:numPr>
          <w:ilvl w:val="0"/>
          <w:numId w:val="29"/>
        </w:numPr>
        <w:spacing w:before="120"/>
        <w:jc w:val="both"/>
      </w:pPr>
      <w:r w:rsidRPr="00D413A8">
        <w:rPr>
          <w:lang w:val="en-AU" w:eastAsia="en-NZ"/>
        </w:rPr>
        <w:t xml:space="preserve">NZSL Board members </w:t>
      </w:r>
      <w:r>
        <w:rPr>
          <w:lang w:val="en-AU" w:eastAsia="en-NZ"/>
        </w:rPr>
        <w:t>must</w:t>
      </w:r>
      <w:r w:rsidRPr="00D413A8">
        <w:rPr>
          <w:lang w:val="en-AU" w:eastAsia="en-NZ"/>
        </w:rPr>
        <w:t xml:space="preserve"> declare any actual or potential conflicts of interest at the start of each full Board or Board sub-committee meeting. </w:t>
      </w:r>
    </w:p>
    <w:p w:rsidR="00D413A8" w:rsidRPr="004D3940" w:rsidRDefault="00D413A8" w:rsidP="00D413A8">
      <w:pPr>
        <w:pStyle w:val="ListParagraph"/>
        <w:numPr>
          <w:ilvl w:val="0"/>
          <w:numId w:val="29"/>
        </w:numPr>
        <w:spacing w:before="120"/>
        <w:jc w:val="both"/>
      </w:pPr>
      <w:r w:rsidRPr="00D413A8">
        <w:rPr>
          <w:lang w:val="en-AU" w:eastAsia="en-NZ"/>
        </w:rPr>
        <w:t xml:space="preserve">If a potential or actual conflict of interest arises between a NZSL Board member (or the organisation they represent in the case of the DPO representative) and the delivery of the Board’s objectives they must declare it at the earliest possible time. </w:t>
      </w:r>
    </w:p>
    <w:p w:rsidR="004D3940" w:rsidRPr="00D413A8" w:rsidRDefault="004D3940" w:rsidP="004D3940">
      <w:pPr>
        <w:pStyle w:val="ListParagraph"/>
        <w:numPr>
          <w:ilvl w:val="0"/>
          <w:numId w:val="28"/>
        </w:numPr>
        <w:spacing w:before="120"/>
        <w:contextualSpacing w:val="0"/>
        <w:jc w:val="both"/>
      </w:pPr>
      <w:r w:rsidRPr="001A730B">
        <w:rPr>
          <w:lang w:val="en-AU" w:eastAsia="en-NZ"/>
        </w:rPr>
        <w:t xml:space="preserve">Anyone involved in a </w:t>
      </w:r>
      <w:r w:rsidR="000348C5">
        <w:rPr>
          <w:lang w:val="en-AU" w:eastAsia="en-NZ"/>
        </w:rPr>
        <w:t xml:space="preserve">NZSL Board </w:t>
      </w:r>
      <w:r w:rsidRPr="001A730B">
        <w:rPr>
          <w:lang w:val="en-AU" w:eastAsia="en-NZ"/>
        </w:rPr>
        <w:t>procure</w:t>
      </w:r>
      <w:r w:rsidR="00CD3E28">
        <w:rPr>
          <w:lang w:val="en-AU" w:eastAsia="en-NZ"/>
        </w:rPr>
        <w:t>ment activity must complete the Conflict of Interest</w:t>
      </w:r>
      <w:r w:rsidRPr="001A730B">
        <w:rPr>
          <w:lang w:val="en-AU" w:eastAsia="en-NZ"/>
        </w:rPr>
        <w:t xml:space="preserve"> agreement before developing tender documents, joining an evaluation panel</w:t>
      </w:r>
      <w:r w:rsidR="00CD3E28" w:rsidRPr="00CD3E28">
        <w:rPr>
          <w:lang w:val="en-AU" w:eastAsia="en-NZ"/>
        </w:rPr>
        <w:t xml:space="preserve"> </w:t>
      </w:r>
      <w:r w:rsidR="00CD3E28">
        <w:rPr>
          <w:lang w:val="en-AU" w:eastAsia="en-NZ"/>
        </w:rPr>
        <w:t>o</w:t>
      </w:r>
      <w:r w:rsidR="00CD3E28" w:rsidRPr="001A730B">
        <w:rPr>
          <w:lang w:val="en-AU" w:eastAsia="en-NZ"/>
        </w:rPr>
        <w:t>r making a decision.</w:t>
      </w:r>
    </w:p>
    <w:p w:rsidR="00E82B25" w:rsidRPr="00CD3E28" w:rsidRDefault="00E82B25" w:rsidP="00CD3E28">
      <w:pPr>
        <w:pStyle w:val="Heading3"/>
        <w:rPr>
          <w:lang w:val="en-AU" w:eastAsia="en-NZ"/>
        </w:rPr>
      </w:pPr>
      <w:r w:rsidRPr="00CD3E28">
        <w:rPr>
          <w:lang w:val="en-AU" w:eastAsia="en-NZ"/>
        </w:rPr>
        <w:t>Levels of Conflict</w:t>
      </w:r>
    </w:p>
    <w:p w:rsidR="00E82B25" w:rsidRPr="00B603B5" w:rsidRDefault="00E82B25" w:rsidP="00D413A8">
      <w:pPr>
        <w:pStyle w:val="ListParagraph"/>
        <w:numPr>
          <w:ilvl w:val="0"/>
          <w:numId w:val="28"/>
        </w:numPr>
        <w:spacing w:before="120"/>
        <w:contextualSpacing w:val="0"/>
        <w:jc w:val="both"/>
      </w:pPr>
      <w:r>
        <w:rPr>
          <w:bCs/>
          <w:szCs w:val="18"/>
        </w:rPr>
        <w:t xml:space="preserve">Potential </w:t>
      </w:r>
      <w:r w:rsidRPr="00CD24FF">
        <w:rPr>
          <w:bCs/>
          <w:szCs w:val="18"/>
        </w:rPr>
        <w:t>Conflicts of Interest</w:t>
      </w:r>
      <w:r>
        <w:rPr>
          <w:bCs/>
          <w:szCs w:val="18"/>
        </w:rPr>
        <w:t xml:space="preserve"> are likely to be common for Board members. All interests which may result in a conflict, whether </w:t>
      </w:r>
      <w:r w:rsidR="00D413A8">
        <w:rPr>
          <w:bCs/>
          <w:szCs w:val="18"/>
        </w:rPr>
        <w:t>actual</w:t>
      </w:r>
      <w:r>
        <w:rPr>
          <w:bCs/>
          <w:szCs w:val="18"/>
        </w:rPr>
        <w:t xml:space="preserve"> or perceived, should be declared.</w:t>
      </w:r>
    </w:p>
    <w:p w:rsidR="00E82B25" w:rsidRPr="000B47E1" w:rsidRDefault="00E82B25" w:rsidP="00D413A8">
      <w:pPr>
        <w:pStyle w:val="ListParagraph"/>
        <w:numPr>
          <w:ilvl w:val="0"/>
          <w:numId w:val="28"/>
        </w:numPr>
        <w:spacing w:before="120"/>
        <w:contextualSpacing w:val="0"/>
        <w:jc w:val="both"/>
      </w:pPr>
      <w:r w:rsidRPr="00746F2E">
        <w:t>The</w:t>
      </w:r>
      <w:r>
        <w:rPr>
          <w:bCs/>
          <w:szCs w:val="18"/>
        </w:rPr>
        <w:t xml:space="preserve"> level of conflict will vary. It is important that the individual with a conflict or potential conflict does not make a decision about the level of that conflict. Such decisions should be </w:t>
      </w:r>
      <w:r>
        <w:rPr>
          <w:bCs/>
          <w:szCs w:val="18"/>
        </w:rPr>
        <w:lastRenderedPageBreak/>
        <w:t>made by the Board at the beginning of the meeting, and again prior to any discussion of potentially sensitive matters, such as financial matters</w:t>
      </w:r>
      <w:r>
        <w:t xml:space="preserve"> or appointments to the Secretariat</w:t>
      </w:r>
      <w:r>
        <w:rPr>
          <w:bCs/>
          <w:szCs w:val="18"/>
        </w:rPr>
        <w:t>.</w:t>
      </w:r>
    </w:p>
    <w:p w:rsidR="00CD3E28" w:rsidRDefault="00E82B25" w:rsidP="00CD3E28">
      <w:pPr>
        <w:pStyle w:val="ListParagraph"/>
        <w:numPr>
          <w:ilvl w:val="0"/>
          <w:numId w:val="28"/>
        </w:numPr>
        <w:spacing w:before="120"/>
        <w:contextualSpacing w:val="0"/>
        <w:jc w:val="both"/>
      </w:pPr>
      <w:r>
        <w:t xml:space="preserve">To assist in determining the level of a conflict and the appropriate response, the Board has agreed a </w:t>
      </w:r>
      <w:r w:rsidRPr="00ED6296">
        <w:rPr>
          <w:i/>
        </w:rPr>
        <w:t>Traffic Light</w:t>
      </w:r>
      <w:r>
        <w:t xml:space="preserve"> risk and response template</w:t>
      </w:r>
      <w:r w:rsidR="00CD3E28">
        <w:t xml:space="preserve"> (see Table 1)</w:t>
      </w:r>
      <w:r>
        <w:t>. This supports the Board in assessing the level of conflict and how it should respond.</w:t>
      </w:r>
    </w:p>
    <w:p w:rsidR="00CD3E28" w:rsidRPr="00581585" w:rsidRDefault="00CD3E28" w:rsidP="00581585">
      <w:pPr>
        <w:pStyle w:val="Heading2"/>
        <w:ind w:left="709" w:right="-22"/>
        <w:rPr>
          <w:sz w:val="22"/>
          <w:szCs w:val="22"/>
        </w:rPr>
      </w:pPr>
      <w:r w:rsidRPr="00581585">
        <w:rPr>
          <w:rFonts w:eastAsia="Times"/>
          <w:sz w:val="22"/>
          <w:szCs w:val="22"/>
          <w:lang w:val="en-AU"/>
        </w:rPr>
        <w:t xml:space="preserve">Table 1: </w:t>
      </w:r>
      <w:r w:rsidRPr="00581585">
        <w:rPr>
          <w:i/>
          <w:sz w:val="22"/>
          <w:szCs w:val="22"/>
        </w:rPr>
        <w:t>Traffic Light</w:t>
      </w:r>
      <w:r w:rsidR="00581585">
        <w:rPr>
          <w:i/>
          <w:sz w:val="22"/>
          <w:szCs w:val="22"/>
        </w:rPr>
        <w:t>:</w:t>
      </w:r>
      <w:r w:rsidRPr="00581585">
        <w:rPr>
          <w:sz w:val="22"/>
          <w:szCs w:val="22"/>
        </w:rPr>
        <w:t xml:space="preserve"> </w:t>
      </w:r>
      <w:r w:rsidR="00581585">
        <w:rPr>
          <w:rFonts w:eastAsia="Times"/>
          <w:sz w:val="22"/>
          <w:szCs w:val="22"/>
          <w:lang w:val="en-AU"/>
        </w:rPr>
        <w:t>Conflict</w:t>
      </w:r>
      <w:r w:rsidR="00581585" w:rsidRPr="00581585">
        <w:rPr>
          <w:rFonts w:eastAsia="Times"/>
          <w:sz w:val="22"/>
          <w:szCs w:val="22"/>
          <w:lang w:val="en-AU"/>
        </w:rPr>
        <w:t xml:space="preserve"> of Interest </w:t>
      </w:r>
      <w:r w:rsidRPr="00581585">
        <w:rPr>
          <w:sz w:val="22"/>
          <w:szCs w:val="22"/>
        </w:rPr>
        <w:t xml:space="preserve">risk </w:t>
      </w:r>
      <w:r w:rsidR="00581585">
        <w:rPr>
          <w:sz w:val="22"/>
          <w:szCs w:val="22"/>
        </w:rPr>
        <w:t xml:space="preserve">evaluation and </w:t>
      </w:r>
      <w:r w:rsidRPr="00581585">
        <w:rPr>
          <w:sz w:val="22"/>
          <w:szCs w:val="22"/>
        </w:rPr>
        <w:t xml:space="preserve">response template </w:t>
      </w:r>
    </w:p>
    <w:tbl>
      <w:tblPr>
        <w:tblStyle w:val="ProcurementTemplates"/>
        <w:tblW w:w="9781" w:type="dxa"/>
        <w:tblInd w:w="108" w:type="dxa"/>
        <w:tblLook w:val="04A0" w:firstRow="1" w:lastRow="0" w:firstColumn="1" w:lastColumn="0" w:noHBand="0" w:noVBand="1"/>
      </w:tblPr>
      <w:tblGrid>
        <w:gridCol w:w="3544"/>
        <w:gridCol w:w="1418"/>
        <w:gridCol w:w="4819"/>
      </w:tblGrid>
      <w:tr w:rsidR="00CD3E28" w:rsidRPr="004020C5" w:rsidTr="00712EAE">
        <w:trPr>
          <w:cnfStyle w:val="100000000000" w:firstRow="1" w:lastRow="0" w:firstColumn="0" w:lastColumn="0" w:oddVBand="0" w:evenVBand="0" w:oddHBand="0" w:evenHBand="0" w:firstRowFirstColumn="0" w:firstRowLastColumn="0" w:lastRowFirstColumn="0" w:lastRowLastColumn="0"/>
          <w:cantSplit/>
        </w:trPr>
        <w:tc>
          <w:tcPr>
            <w:tcW w:w="3544" w:type="dxa"/>
          </w:tcPr>
          <w:p w:rsidR="00CD3E28" w:rsidRPr="004020C5" w:rsidRDefault="00CD3E28" w:rsidP="009054EC">
            <w:pPr>
              <w:spacing w:before="160" w:after="160"/>
              <w:ind w:left="0" w:firstLine="0"/>
              <w:rPr>
                <w:b/>
                <w:color w:val="auto"/>
              </w:rPr>
            </w:pPr>
            <w:r>
              <w:rPr>
                <w:b/>
                <w:color w:val="auto"/>
              </w:rPr>
              <w:t>Nature of conflict</w:t>
            </w:r>
            <w:r w:rsidRPr="004020C5">
              <w:rPr>
                <w:b/>
                <w:color w:val="auto"/>
              </w:rPr>
              <w:t xml:space="preserve"> </w:t>
            </w:r>
          </w:p>
        </w:tc>
        <w:tc>
          <w:tcPr>
            <w:tcW w:w="1418" w:type="dxa"/>
          </w:tcPr>
          <w:p w:rsidR="00CD3E28" w:rsidRPr="004020C5" w:rsidRDefault="00CD3E28" w:rsidP="009054EC">
            <w:pPr>
              <w:spacing w:before="160" w:after="160"/>
              <w:ind w:left="0" w:firstLine="0"/>
              <w:rPr>
                <w:b/>
                <w:color w:val="auto"/>
              </w:rPr>
            </w:pPr>
            <w:r w:rsidRPr="004020C5">
              <w:rPr>
                <w:b/>
                <w:color w:val="auto"/>
              </w:rPr>
              <w:t>Likely Level of Conflict</w:t>
            </w:r>
          </w:p>
        </w:tc>
        <w:tc>
          <w:tcPr>
            <w:tcW w:w="4819" w:type="dxa"/>
          </w:tcPr>
          <w:p w:rsidR="00CD3E28" w:rsidRPr="004020C5" w:rsidRDefault="00CD3E28" w:rsidP="009054EC">
            <w:pPr>
              <w:spacing w:before="160" w:after="160"/>
              <w:ind w:left="0" w:firstLine="0"/>
              <w:rPr>
                <w:b/>
                <w:color w:val="auto"/>
              </w:rPr>
            </w:pPr>
            <w:r w:rsidRPr="004020C5">
              <w:rPr>
                <w:b/>
                <w:color w:val="auto"/>
              </w:rPr>
              <w:t>Required Response to Level of Conflict</w:t>
            </w:r>
          </w:p>
        </w:tc>
      </w:tr>
      <w:tr w:rsidR="00CD3E28" w:rsidRPr="005916AA" w:rsidTr="00712EAE">
        <w:trPr>
          <w:cnfStyle w:val="000000100000" w:firstRow="0" w:lastRow="0" w:firstColumn="0" w:lastColumn="0" w:oddVBand="0" w:evenVBand="0" w:oddHBand="1" w:evenHBand="0" w:firstRowFirstColumn="0" w:firstRowLastColumn="0" w:lastRowFirstColumn="0" w:lastRowLastColumn="0"/>
          <w:cantSplit/>
        </w:trPr>
        <w:tc>
          <w:tcPr>
            <w:tcW w:w="3544" w:type="dxa"/>
          </w:tcPr>
          <w:p w:rsidR="00CD3E28" w:rsidRPr="00CD3E28" w:rsidRDefault="00CD3E28" w:rsidP="00712EAE">
            <w:pPr>
              <w:spacing w:before="80" w:after="80" w:line="240" w:lineRule="auto"/>
              <w:ind w:left="0" w:firstLine="0"/>
              <w:rPr>
                <w:sz w:val="18"/>
              </w:rPr>
            </w:pPr>
            <w:r w:rsidRPr="00CD3E28">
              <w:rPr>
                <w:sz w:val="18"/>
              </w:rPr>
              <w:t>Lead and/or representative (e.g. the member of their immediate family and/or business partner(s) stand to receive benefit or gain from the issue)</w:t>
            </w:r>
          </w:p>
        </w:tc>
        <w:tc>
          <w:tcPr>
            <w:tcW w:w="1418" w:type="dxa"/>
            <w:shd w:val="clear" w:color="auto" w:fill="C00000"/>
          </w:tcPr>
          <w:p w:rsidR="00CD3E28" w:rsidRPr="005916AA" w:rsidRDefault="00CD3E28" w:rsidP="009054EC">
            <w:pPr>
              <w:spacing w:before="160" w:after="160"/>
              <w:ind w:left="0" w:firstLine="0"/>
              <w:jc w:val="center"/>
              <w:rPr>
                <w:b/>
              </w:rPr>
            </w:pPr>
            <w:r w:rsidRPr="005916AA">
              <w:rPr>
                <w:b/>
                <w:color w:val="FFFFFF" w:themeColor="background1"/>
              </w:rPr>
              <w:t xml:space="preserve">Very high </w:t>
            </w:r>
          </w:p>
        </w:tc>
        <w:tc>
          <w:tcPr>
            <w:tcW w:w="4819" w:type="dxa"/>
          </w:tcPr>
          <w:p w:rsidR="00CD3E28" w:rsidRPr="00CD3E28" w:rsidRDefault="00CD3E28" w:rsidP="00712EAE">
            <w:pPr>
              <w:spacing w:before="80" w:after="80" w:line="240" w:lineRule="auto"/>
              <w:ind w:left="0" w:firstLine="0"/>
              <w:rPr>
                <w:sz w:val="18"/>
              </w:rPr>
            </w:pPr>
            <w:r w:rsidRPr="00CD3E28">
              <w:rPr>
                <w:sz w:val="18"/>
              </w:rPr>
              <w:t>Declare your conflict of interest and provide Chair/Secretariat with details of the conflict.</w:t>
            </w:r>
          </w:p>
          <w:p w:rsidR="00CD3E28" w:rsidRPr="00CD3E28" w:rsidRDefault="00CD3E28" w:rsidP="00712EAE">
            <w:pPr>
              <w:spacing w:before="80" w:after="80" w:line="240" w:lineRule="auto"/>
              <w:ind w:left="0" w:firstLine="0"/>
              <w:rPr>
                <w:sz w:val="18"/>
              </w:rPr>
            </w:pPr>
            <w:r w:rsidRPr="00CD3E28">
              <w:rPr>
                <w:sz w:val="18"/>
              </w:rPr>
              <w:t>Must not be involved in or participate in discussion or voting in any way.</w:t>
            </w:r>
          </w:p>
        </w:tc>
      </w:tr>
      <w:tr w:rsidR="00CD3E28" w:rsidRPr="005916AA" w:rsidTr="00712EAE">
        <w:trPr>
          <w:cnfStyle w:val="000000010000" w:firstRow="0" w:lastRow="0" w:firstColumn="0" w:lastColumn="0" w:oddVBand="0" w:evenVBand="0" w:oddHBand="0" w:evenHBand="1" w:firstRowFirstColumn="0" w:firstRowLastColumn="0" w:lastRowFirstColumn="0" w:lastRowLastColumn="0"/>
          <w:cantSplit/>
        </w:trPr>
        <w:tc>
          <w:tcPr>
            <w:tcW w:w="3544" w:type="dxa"/>
          </w:tcPr>
          <w:p w:rsidR="00CD3E28" w:rsidRPr="00CD3E28" w:rsidRDefault="00CD3E28" w:rsidP="000348C5">
            <w:pPr>
              <w:spacing w:before="80" w:after="80" w:line="240" w:lineRule="auto"/>
              <w:ind w:left="0" w:firstLine="0"/>
              <w:rPr>
                <w:sz w:val="18"/>
              </w:rPr>
            </w:pPr>
            <w:r w:rsidRPr="00CD3E28">
              <w:rPr>
                <w:sz w:val="18"/>
              </w:rPr>
              <w:t>Di</w:t>
            </w:r>
            <w:r w:rsidR="000348C5">
              <w:rPr>
                <w:sz w:val="18"/>
              </w:rPr>
              <w:t>rectly involved (e.g. helped develop a relevant</w:t>
            </w:r>
            <w:r w:rsidRPr="00CD3E28">
              <w:rPr>
                <w:sz w:val="18"/>
              </w:rPr>
              <w:t xml:space="preserve"> NZSL Fund application)</w:t>
            </w:r>
          </w:p>
        </w:tc>
        <w:tc>
          <w:tcPr>
            <w:tcW w:w="1418" w:type="dxa"/>
            <w:shd w:val="clear" w:color="auto" w:fill="FF0000"/>
          </w:tcPr>
          <w:p w:rsidR="00CD3E28" w:rsidRPr="005916AA" w:rsidRDefault="00CD3E28" w:rsidP="009054EC">
            <w:pPr>
              <w:spacing w:before="160" w:after="160"/>
              <w:ind w:left="0" w:firstLine="0"/>
              <w:jc w:val="center"/>
              <w:rPr>
                <w:b/>
              </w:rPr>
            </w:pPr>
            <w:r w:rsidRPr="005916AA">
              <w:rPr>
                <w:b/>
                <w:color w:val="FFFFFF" w:themeColor="background1"/>
              </w:rPr>
              <w:t>High</w:t>
            </w:r>
          </w:p>
        </w:tc>
        <w:tc>
          <w:tcPr>
            <w:tcW w:w="4819" w:type="dxa"/>
            <w:vMerge w:val="restart"/>
          </w:tcPr>
          <w:p w:rsidR="00CD3E28" w:rsidRPr="00CD3E28" w:rsidRDefault="00CD3E28" w:rsidP="00712EAE">
            <w:pPr>
              <w:spacing w:before="80" w:after="80" w:line="240" w:lineRule="auto"/>
              <w:ind w:left="0" w:firstLine="0"/>
              <w:rPr>
                <w:sz w:val="18"/>
              </w:rPr>
            </w:pPr>
            <w:r w:rsidRPr="00CD3E28">
              <w:rPr>
                <w:sz w:val="18"/>
              </w:rPr>
              <w:t xml:space="preserve">Declare your conflict of interest and provide Chair/Secretariat with details of the conflict. </w:t>
            </w:r>
          </w:p>
          <w:p w:rsidR="00CD3E28" w:rsidRPr="00CD3E28" w:rsidRDefault="00CD3E28" w:rsidP="00712EAE">
            <w:pPr>
              <w:spacing w:before="80" w:after="80" w:line="240" w:lineRule="auto"/>
              <w:ind w:left="0" w:firstLine="0"/>
              <w:rPr>
                <w:sz w:val="18"/>
              </w:rPr>
            </w:pPr>
            <w:r w:rsidRPr="00CD3E28">
              <w:rPr>
                <w:sz w:val="18"/>
              </w:rPr>
              <w:t>May be involved in discussions but not in decision-making or voting related.</w:t>
            </w:r>
          </w:p>
          <w:p w:rsidR="00CD3E28" w:rsidRPr="00CD3E28" w:rsidRDefault="00CD3E28" w:rsidP="00712EAE">
            <w:pPr>
              <w:spacing w:before="80" w:after="80" w:line="240" w:lineRule="auto"/>
              <w:ind w:left="0" w:firstLine="0"/>
              <w:rPr>
                <w:sz w:val="18"/>
              </w:rPr>
            </w:pPr>
            <w:r w:rsidRPr="00CD3E28">
              <w:rPr>
                <w:sz w:val="18"/>
              </w:rPr>
              <w:t>Chair/Secretariat may determine further risk mitigation actions.</w:t>
            </w:r>
          </w:p>
        </w:tc>
      </w:tr>
      <w:tr w:rsidR="00CD3E28" w:rsidRPr="005916AA" w:rsidTr="00712EAE">
        <w:trPr>
          <w:cnfStyle w:val="000000100000" w:firstRow="0" w:lastRow="0" w:firstColumn="0" w:lastColumn="0" w:oddVBand="0" w:evenVBand="0" w:oddHBand="1" w:evenHBand="0" w:firstRowFirstColumn="0" w:firstRowLastColumn="0" w:lastRowFirstColumn="0" w:lastRowLastColumn="0"/>
          <w:cantSplit/>
        </w:trPr>
        <w:tc>
          <w:tcPr>
            <w:tcW w:w="3544" w:type="dxa"/>
          </w:tcPr>
          <w:p w:rsidR="00CD3E28" w:rsidRPr="00CD3E28" w:rsidRDefault="00CD3E28" w:rsidP="00712EAE">
            <w:pPr>
              <w:spacing w:before="80" w:after="80" w:line="240" w:lineRule="auto"/>
              <w:ind w:left="0" w:firstLine="0"/>
              <w:rPr>
                <w:sz w:val="18"/>
              </w:rPr>
            </w:pPr>
            <w:r w:rsidRPr="00CD3E28">
              <w:rPr>
                <w:sz w:val="18"/>
              </w:rPr>
              <w:t>Background involvement (e.g. in staff or has knowledge of competing organisation) but not directly involved in current issue</w:t>
            </w:r>
          </w:p>
        </w:tc>
        <w:tc>
          <w:tcPr>
            <w:tcW w:w="1418" w:type="dxa"/>
            <w:shd w:val="clear" w:color="auto" w:fill="FFC000"/>
          </w:tcPr>
          <w:p w:rsidR="00CD3E28" w:rsidRPr="005916AA" w:rsidRDefault="00CD3E28" w:rsidP="009054EC">
            <w:pPr>
              <w:spacing w:before="160" w:after="160"/>
              <w:ind w:left="0" w:firstLine="0"/>
              <w:jc w:val="center"/>
              <w:rPr>
                <w:b/>
              </w:rPr>
            </w:pPr>
            <w:r w:rsidRPr="00B95892">
              <w:rPr>
                <w:b/>
              </w:rPr>
              <w:t>Medium</w:t>
            </w:r>
          </w:p>
        </w:tc>
        <w:tc>
          <w:tcPr>
            <w:tcW w:w="4819" w:type="dxa"/>
            <w:vMerge/>
          </w:tcPr>
          <w:p w:rsidR="00CD3E28" w:rsidRPr="00CD3E28" w:rsidRDefault="00CD3E28" w:rsidP="00712EAE">
            <w:pPr>
              <w:spacing w:before="80" w:after="80" w:line="240" w:lineRule="auto"/>
              <w:ind w:left="0" w:firstLine="0"/>
              <w:rPr>
                <w:sz w:val="18"/>
              </w:rPr>
            </w:pPr>
          </w:p>
        </w:tc>
      </w:tr>
      <w:tr w:rsidR="00CD3E28" w:rsidRPr="005916AA" w:rsidTr="00712EAE">
        <w:trPr>
          <w:cnfStyle w:val="000000010000" w:firstRow="0" w:lastRow="0" w:firstColumn="0" w:lastColumn="0" w:oddVBand="0" w:evenVBand="0" w:oddHBand="0" w:evenHBand="1" w:firstRowFirstColumn="0" w:firstRowLastColumn="0" w:lastRowFirstColumn="0" w:lastRowLastColumn="0"/>
          <w:cantSplit/>
        </w:trPr>
        <w:tc>
          <w:tcPr>
            <w:tcW w:w="3544" w:type="dxa"/>
          </w:tcPr>
          <w:p w:rsidR="00CD3E28" w:rsidRPr="00CD3E28" w:rsidRDefault="00CD3E28" w:rsidP="00712EAE">
            <w:pPr>
              <w:spacing w:before="80" w:after="80" w:line="240" w:lineRule="auto"/>
              <w:ind w:left="0" w:firstLine="0"/>
              <w:rPr>
                <w:sz w:val="18"/>
              </w:rPr>
            </w:pPr>
            <w:r w:rsidRPr="00CD3E28">
              <w:rPr>
                <w:sz w:val="18"/>
              </w:rPr>
              <w:t>Stakeholder (e.g. member of same community organisation)</w:t>
            </w:r>
          </w:p>
        </w:tc>
        <w:tc>
          <w:tcPr>
            <w:tcW w:w="1418" w:type="dxa"/>
            <w:shd w:val="clear" w:color="auto" w:fill="FFFF00"/>
          </w:tcPr>
          <w:p w:rsidR="00CD3E28" w:rsidRPr="005916AA" w:rsidRDefault="00CD3E28" w:rsidP="009054EC">
            <w:pPr>
              <w:spacing w:before="160" w:after="160"/>
              <w:ind w:left="0" w:firstLine="0"/>
              <w:jc w:val="center"/>
              <w:rPr>
                <w:b/>
                <w:color w:val="E36C0A" w:themeColor="accent6" w:themeShade="BF"/>
              </w:rPr>
            </w:pPr>
            <w:r w:rsidRPr="005916AA">
              <w:rPr>
                <w:b/>
              </w:rPr>
              <w:t>Low</w:t>
            </w:r>
          </w:p>
        </w:tc>
        <w:tc>
          <w:tcPr>
            <w:tcW w:w="4819" w:type="dxa"/>
          </w:tcPr>
          <w:p w:rsidR="00CD3E28" w:rsidRPr="00CD3E28" w:rsidRDefault="00CD3E28" w:rsidP="00712EAE">
            <w:pPr>
              <w:spacing w:before="80" w:after="80" w:line="240" w:lineRule="auto"/>
              <w:ind w:left="0" w:firstLine="0"/>
              <w:rPr>
                <w:sz w:val="18"/>
              </w:rPr>
            </w:pPr>
            <w:r w:rsidRPr="00CD3E28">
              <w:rPr>
                <w:sz w:val="18"/>
              </w:rPr>
              <w:t>Declare your conflict of interest and provide Chair/Secretariat with details of the conflict.</w:t>
            </w:r>
          </w:p>
          <w:p w:rsidR="00CD3E28" w:rsidRPr="00CD3E28" w:rsidRDefault="00CD3E28" w:rsidP="00712EAE">
            <w:pPr>
              <w:spacing w:before="80" w:after="80" w:line="240" w:lineRule="auto"/>
              <w:ind w:left="0" w:firstLine="0"/>
              <w:rPr>
                <w:sz w:val="18"/>
              </w:rPr>
            </w:pPr>
            <w:r w:rsidRPr="00CD3E28">
              <w:rPr>
                <w:sz w:val="18"/>
              </w:rPr>
              <w:t>May be involved in discussions and decision-making or voting related to this issue.</w:t>
            </w:r>
          </w:p>
          <w:p w:rsidR="00CD3E28" w:rsidRPr="00CD3E28" w:rsidRDefault="00CD3E28" w:rsidP="00712EAE">
            <w:pPr>
              <w:spacing w:before="80" w:after="80" w:line="240" w:lineRule="auto"/>
              <w:ind w:left="0" w:firstLine="0"/>
              <w:rPr>
                <w:sz w:val="18"/>
              </w:rPr>
            </w:pPr>
            <w:r w:rsidRPr="00CD3E28">
              <w:rPr>
                <w:sz w:val="18"/>
              </w:rPr>
              <w:t>Chair/Secretariat may determine further risk mitigation actions.</w:t>
            </w:r>
          </w:p>
        </w:tc>
      </w:tr>
      <w:tr w:rsidR="00CD3E28" w:rsidRPr="005916AA" w:rsidTr="00712EAE">
        <w:trPr>
          <w:cnfStyle w:val="000000100000" w:firstRow="0" w:lastRow="0" w:firstColumn="0" w:lastColumn="0" w:oddVBand="0" w:evenVBand="0" w:oddHBand="1" w:evenHBand="0" w:firstRowFirstColumn="0" w:firstRowLastColumn="0" w:lastRowFirstColumn="0" w:lastRowLastColumn="0"/>
          <w:cantSplit/>
        </w:trPr>
        <w:tc>
          <w:tcPr>
            <w:tcW w:w="3544" w:type="dxa"/>
          </w:tcPr>
          <w:p w:rsidR="00CD3E28" w:rsidRPr="00CD3E28" w:rsidRDefault="00CD3E28" w:rsidP="00712EAE">
            <w:pPr>
              <w:spacing w:before="80" w:after="80" w:line="240" w:lineRule="auto"/>
              <w:ind w:left="0" w:firstLine="0"/>
              <w:rPr>
                <w:sz w:val="18"/>
              </w:rPr>
            </w:pPr>
            <w:r w:rsidRPr="00CD3E28">
              <w:rPr>
                <w:sz w:val="18"/>
              </w:rPr>
              <w:t>No relationship / interest / benefit / gain</w:t>
            </w:r>
          </w:p>
        </w:tc>
        <w:tc>
          <w:tcPr>
            <w:tcW w:w="1418" w:type="dxa"/>
            <w:shd w:val="clear" w:color="auto" w:fill="92D050"/>
          </w:tcPr>
          <w:p w:rsidR="00CD3E28" w:rsidRPr="005916AA" w:rsidRDefault="00CD3E28" w:rsidP="009054EC">
            <w:pPr>
              <w:spacing w:before="160" w:after="160"/>
              <w:ind w:left="0" w:firstLine="0"/>
              <w:jc w:val="center"/>
              <w:rPr>
                <w:b/>
                <w:color w:val="00B050"/>
              </w:rPr>
            </w:pPr>
            <w:r w:rsidRPr="005916AA">
              <w:rPr>
                <w:b/>
              </w:rPr>
              <w:t>No Conflict</w:t>
            </w:r>
          </w:p>
        </w:tc>
        <w:tc>
          <w:tcPr>
            <w:tcW w:w="4819" w:type="dxa"/>
          </w:tcPr>
          <w:p w:rsidR="00CD3E28" w:rsidRPr="00CD3E28" w:rsidRDefault="00CD3E28" w:rsidP="00712EAE">
            <w:pPr>
              <w:spacing w:before="80" w:after="80" w:line="240" w:lineRule="auto"/>
              <w:ind w:left="0" w:firstLine="0"/>
              <w:rPr>
                <w:sz w:val="18"/>
              </w:rPr>
            </w:pPr>
            <w:r w:rsidRPr="00CD3E28">
              <w:rPr>
                <w:sz w:val="18"/>
              </w:rPr>
              <w:t>No action required</w:t>
            </w:r>
          </w:p>
        </w:tc>
      </w:tr>
    </w:tbl>
    <w:p w:rsidR="00CD3E28" w:rsidRDefault="00CD3E28" w:rsidP="00712EAE">
      <w:pPr>
        <w:spacing w:after="0" w:line="240" w:lineRule="auto"/>
        <w:jc w:val="both"/>
      </w:pPr>
    </w:p>
    <w:p w:rsidR="004D3940" w:rsidRPr="00457364" w:rsidRDefault="004D3940" w:rsidP="004D3940">
      <w:pPr>
        <w:pStyle w:val="Heading3"/>
        <w:rPr>
          <w:lang w:val="en-AU" w:eastAsia="en-NZ"/>
        </w:rPr>
      </w:pPr>
      <w:r w:rsidRPr="00457364">
        <w:rPr>
          <w:lang w:val="en-AU" w:eastAsia="en-NZ"/>
        </w:rPr>
        <w:t>Evaluating conflicts</w:t>
      </w:r>
    </w:p>
    <w:p w:rsidR="004D3940" w:rsidRDefault="004D3940" w:rsidP="004D3940">
      <w:pPr>
        <w:pStyle w:val="ListParagraph"/>
        <w:numPr>
          <w:ilvl w:val="0"/>
          <w:numId w:val="28"/>
        </w:numPr>
        <w:spacing w:before="120"/>
        <w:contextualSpacing w:val="0"/>
        <w:jc w:val="both"/>
        <w:rPr>
          <w:lang w:val="en-AU" w:eastAsia="en-NZ"/>
        </w:rPr>
      </w:pPr>
      <w:r>
        <w:rPr>
          <w:lang w:val="en-AU" w:eastAsia="en-NZ"/>
        </w:rPr>
        <w:t>The meeting</w:t>
      </w:r>
      <w:r w:rsidRPr="00457364">
        <w:rPr>
          <w:lang w:val="en-AU" w:eastAsia="en-NZ"/>
        </w:rPr>
        <w:t xml:space="preserve"> Chair </w:t>
      </w:r>
      <w:r>
        <w:rPr>
          <w:lang w:val="en-AU" w:eastAsia="en-NZ"/>
        </w:rPr>
        <w:t>will call for any updates to the register of interests at the start of each meeting.</w:t>
      </w:r>
    </w:p>
    <w:p w:rsidR="004D3940" w:rsidRDefault="004D3940" w:rsidP="004D3940">
      <w:pPr>
        <w:pStyle w:val="ListParagraph"/>
        <w:numPr>
          <w:ilvl w:val="0"/>
          <w:numId w:val="28"/>
        </w:numPr>
        <w:spacing w:before="120"/>
        <w:contextualSpacing w:val="0"/>
        <w:jc w:val="both"/>
        <w:rPr>
          <w:lang w:val="en-AU" w:eastAsia="en-NZ"/>
        </w:rPr>
      </w:pPr>
      <w:r>
        <w:rPr>
          <w:lang w:val="en-AU" w:eastAsia="en-NZ"/>
        </w:rPr>
        <w:t xml:space="preserve">The non-conflicted members will consider any identified conflicts against the ‘Traffic Light’ to determine the level of conflict and an appropriate response, if any. </w:t>
      </w:r>
    </w:p>
    <w:p w:rsidR="004D3940" w:rsidRPr="00457364" w:rsidRDefault="004D3940" w:rsidP="004D3940">
      <w:pPr>
        <w:pStyle w:val="ListParagraph"/>
        <w:numPr>
          <w:ilvl w:val="0"/>
          <w:numId w:val="28"/>
        </w:numPr>
        <w:spacing w:before="120"/>
        <w:contextualSpacing w:val="0"/>
        <w:jc w:val="both"/>
        <w:rPr>
          <w:lang w:val="en-AU" w:eastAsia="en-NZ"/>
        </w:rPr>
      </w:pPr>
      <w:r>
        <w:rPr>
          <w:lang w:val="en-AU" w:eastAsia="en-NZ"/>
        </w:rPr>
        <w:t>T</w:t>
      </w:r>
      <w:r w:rsidRPr="00457364">
        <w:rPr>
          <w:lang w:val="en-AU" w:eastAsia="en-NZ"/>
        </w:rPr>
        <w:t>he Secretariat</w:t>
      </w:r>
      <w:r>
        <w:rPr>
          <w:lang w:val="en-AU" w:eastAsia="en-NZ"/>
        </w:rPr>
        <w:t xml:space="preserve"> will record decisions and the rationale for them</w:t>
      </w:r>
      <w:r w:rsidRPr="00457364">
        <w:rPr>
          <w:lang w:val="en-AU" w:eastAsia="en-NZ"/>
        </w:rPr>
        <w:t xml:space="preserve">. </w:t>
      </w:r>
    </w:p>
    <w:p w:rsidR="00E82B25" w:rsidRPr="00CD3E28" w:rsidRDefault="00E82B25" w:rsidP="00CD3E28">
      <w:pPr>
        <w:pStyle w:val="Heading3"/>
        <w:rPr>
          <w:lang w:val="en-AU" w:eastAsia="en-NZ"/>
        </w:rPr>
      </w:pPr>
      <w:r w:rsidRPr="00CD3E28">
        <w:rPr>
          <w:lang w:val="en-AU" w:eastAsia="en-NZ"/>
        </w:rPr>
        <w:t>Managing Conflicts of Interest</w:t>
      </w:r>
    </w:p>
    <w:p w:rsidR="00E82B25" w:rsidRPr="00396401" w:rsidRDefault="00E82B25" w:rsidP="00D413A8">
      <w:pPr>
        <w:pStyle w:val="ListParagraph"/>
        <w:numPr>
          <w:ilvl w:val="0"/>
          <w:numId w:val="28"/>
        </w:numPr>
        <w:spacing w:before="120"/>
        <w:contextualSpacing w:val="0"/>
        <w:jc w:val="both"/>
        <w:rPr>
          <w:rFonts w:ascii="Arial" w:eastAsia="Times" w:hAnsi="Arial" w:cs="Times New Roman"/>
          <w:lang w:val="en-AU"/>
        </w:rPr>
      </w:pPr>
      <w:r>
        <w:t>A range of processes are available to the Board for mitigating and assessing Conflicts of I</w:t>
      </w:r>
      <w:r w:rsidRPr="00CD24FF">
        <w:t>nterest</w:t>
      </w:r>
      <w:r>
        <w:t>:</w:t>
      </w:r>
      <w:r w:rsidRPr="00CD24FF">
        <w:t xml:space="preserve"> </w:t>
      </w:r>
    </w:p>
    <w:p w:rsidR="00E82B25" w:rsidRPr="00ED6296" w:rsidRDefault="00E82B25" w:rsidP="00746F2E">
      <w:pPr>
        <w:pStyle w:val="ListParagraph"/>
        <w:numPr>
          <w:ilvl w:val="0"/>
          <w:numId w:val="20"/>
        </w:numPr>
        <w:spacing w:before="120" w:line="240" w:lineRule="auto"/>
        <w:ind w:left="1134" w:hanging="357"/>
        <w:contextualSpacing w:val="0"/>
        <w:jc w:val="both"/>
        <w:rPr>
          <w:rFonts w:eastAsia="Times" w:cs="Times New Roman"/>
          <w:lang w:val="en-AU"/>
        </w:rPr>
      </w:pPr>
      <w:r>
        <w:t xml:space="preserve">establishing and </w:t>
      </w:r>
      <w:r w:rsidRPr="00ED6296">
        <w:t xml:space="preserve">maintaining </w:t>
      </w:r>
      <w:r>
        <w:t>a</w:t>
      </w:r>
      <w:r w:rsidRPr="00ED6296">
        <w:t xml:space="preserve"> register of interests</w:t>
      </w:r>
    </w:p>
    <w:p w:rsidR="00E82B25" w:rsidRDefault="00E82B25" w:rsidP="00746F2E">
      <w:pPr>
        <w:pStyle w:val="ListParagraph"/>
        <w:numPr>
          <w:ilvl w:val="0"/>
          <w:numId w:val="20"/>
        </w:numPr>
        <w:spacing w:before="120" w:line="240" w:lineRule="auto"/>
        <w:ind w:left="1134" w:hanging="357"/>
        <w:contextualSpacing w:val="0"/>
        <w:jc w:val="both"/>
        <w:rPr>
          <w:rFonts w:eastAsia="Times" w:cs="Times New Roman"/>
          <w:lang w:val="en-AU"/>
        </w:rPr>
      </w:pPr>
      <w:r>
        <w:rPr>
          <w:rFonts w:eastAsia="Times" w:cs="Times New Roman"/>
          <w:lang w:val="en-AU"/>
        </w:rPr>
        <w:t>updating the register of interests when alerted to a new interest and reviewing it at the start of each Board meeting</w:t>
      </w:r>
    </w:p>
    <w:p w:rsidR="00E82B25" w:rsidRPr="00ED6296" w:rsidRDefault="00E82B25" w:rsidP="00746F2E">
      <w:pPr>
        <w:pStyle w:val="ListParagraph"/>
        <w:numPr>
          <w:ilvl w:val="0"/>
          <w:numId w:val="20"/>
        </w:numPr>
        <w:spacing w:before="120" w:line="240" w:lineRule="auto"/>
        <w:ind w:left="1134" w:hanging="357"/>
        <w:contextualSpacing w:val="0"/>
        <w:jc w:val="both"/>
        <w:rPr>
          <w:rFonts w:eastAsia="Times" w:cs="Times New Roman"/>
          <w:lang w:val="en-AU"/>
        </w:rPr>
      </w:pPr>
      <w:r>
        <w:rPr>
          <w:rFonts w:eastAsia="Times" w:cs="Times New Roman"/>
          <w:lang w:val="en-AU"/>
        </w:rPr>
        <w:t xml:space="preserve">seeking declaration from all Board members at the start of each meeting of any interests which may result in or be perceived as a </w:t>
      </w:r>
      <w:r>
        <w:t>conflict</w:t>
      </w:r>
      <w:r w:rsidRPr="00CD24FF">
        <w:t xml:space="preserve"> of interest</w:t>
      </w:r>
    </w:p>
    <w:p w:rsidR="00E82B25" w:rsidRPr="009B2B6A" w:rsidRDefault="00E82B25" w:rsidP="00746F2E">
      <w:pPr>
        <w:pStyle w:val="ListParagraph"/>
        <w:numPr>
          <w:ilvl w:val="0"/>
          <w:numId w:val="20"/>
        </w:numPr>
        <w:spacing w:before="120" w:line="240" w:lineRule="auto"/>
        <w:ind w:left="1134" w:hanging="357"/>
        <w:contextualSpacing w:val="0"/>
        <w:jc w:val="both"/>
        <w:rPr>
          <w:rFonts w:eastAsia="Times" w:cs="Times New Roman"/>
          <w:lang w:val="en-AU"/>
        </w:rPr>
      </w:pPr>
      <w:r>
        <w:rPr>
          <w:rFonts w:eastAsia="Times" w:cs="Times New Roman"/>
          <w:lang w:val="en-AU"/>
        </w:rPr>
        <w:t xml:space="preserve">collectively applying the </w:t>
      </w:r>
      <w:r w:rsidRPr="00ED6296">
        <w:rPr>
          <w:i/>
        </w:rPr>
        <w:t>Traffic Light</w:t>
      </w:r>
      <w:r w:rsidRPr="00ED6296">
        <w:t xml:space="preserve"> to</w:t>
      </w:r>
      <w:r>
        <w:t>:</w:t>
      </w:r>
      <w:r w:rsidRPr="00ED6296">
        <w:t xml:space="preserve"> </w:t>
      </w:r>
    </w:p>
    <w:p w:rsidR="00E82B25" w:rsidRPr="009B2B6A" w:rsidRDefault="00E82B25" w:rsidP="00746F2E">
      <w:pPr>
        <w:pStyle w:val="ListParagraph"/>
        <w:numPr>
          <w:ilvl w:val="1"/>
          <w:numId w:val="20"/>
        </w:numPr>
        <w:spacing w:before="120" w:line="240" w:lineRule="auto"/>
        <w:ind w:left="1560"/>
        <w:contextualSpacing w:val="0"/>
        <w:jc w:val="both"/>
        <w:rPr>
          <w:rFonts w:eastAsia="Times" w:cs="Times New Roman"/>
          <w:lang w:val="en-AU"/>
        </w:rPr>
      </w:pPr>
      <w:r w:rsidRPr="00ED6296">
        <w:t xml:space="preserve">determine </w:t>
      </w:r>
      <w:r>
        <w:t xml:space="preserve">whether a conflict is </w:t>
      </w:r>
      <w:r w:rsidR="00D413A8">
        <w:t>actual, potential</w:t>
      </w:r>
      <w:r>
        <w:t xml:space="preserve"> or perceived</w:t>
      </w:r>
    </w:p>
    <w:p w:rsidR="00E82B25" w:rsidRPr="009B2B6A" w:rsidRDefault="00E82B25" w:rsidP="00746F2E">
      <w:pPr>
        <w:pStyle w:val="ListParagraph"/>
        <w:numPr>
          <w:ilvl w:val="1"/>
          <w:numId w:val="20"/>
        </w:numPr>
        <w:spacing w:before="120" w:line="240" w:lineRule="auto"/>
        <w:ind w:left="1560"/>
        <w:contextualSpacing w:val="0"/>
        <w:jc w:val="both"/>
        <w:rPr>
          <w:rFonts w:eastAsia="Times" w:cs="Times New Roman"/>
          <w:lang w:val="en-AU"/>
        </w:rPr>
      </w:pPr>
      <w:r>
        <w:t xml:space="preserve">assess </w:t>
      </w:r>
      <w:r w:rsidRPr="00ED6296">
        <w:t xml:space="preserve">the level of conflict </w:t>
      </w:r>
    </w:p>
    <w:p w:rsidR="00E82B25" w:rsidRPr="00ED6296" w:rsidRDefault="00E82B25" w:rsidP="00746F2E">
      <w:pPr>
        <w:pStyle w:val="ListParagraph"/>
        <w:numPr>
          <w:ilvl w:val="1"/>
          <w:numId w:val="20"/>
        </w:numPr>
        <w:spacing w:before="120" w:line="240" w:lineRule="auto"/>
        <w:ind w:left="1560"/>
        <w:contextualSpacing w:val="0"/>
        <w:jc w:val="both"/>
        <w:rPr>
          <w:rFonts w:eastAsia="Times" w:cs="Times New Roman"/>
          <w:lang w:val="en-AU"/>
        </w:rPr>
      </w:pPr>
      <w:r>
        <w:t xml:space="preserve">identify </w:t>
      </w:r>
      <w:r w:rsidRPr="00ED6296">
        <w:t>an appropriate response</w:t>
      </w:r>
    </w:p>
    <w:p w:rsidR="00E82B25" w:rsidRPr="009B2B6A" w:rsidRDefault="00E82B25" w:rsidP="00746F2E">
      <w:pPr>
        <w:pStyle w:val="ListParagraph"/>
        <w:numPr>
          <w:ilvl w:val="0"/>
          <w:numId w:val="20"/>
        </w:numPr>
        <w:spacing w:before="120" w:line="240" w:lineRule="auto"/>
        <w:ind w:left="1134" w:hanging="357"/>
        <w:contextualSpacing w:val="0"/>
        <w:jc w:val="both"/>
        <w:rPr>
          <w:rFonts w:eastAsia="Times" w:cs="Times New Roman"/>
          <w:lang w:val="en-AU"/>
        </w:rPr>
      </w:pPr>
      <w:r>
        <w:rPr>
          <w:rFonts w:eastAsia="Times" w:cs="Times New Roman"/>
          <w:lang w:val="en-AU"/>
        </w:rPr>
        <w:lastRenderedPageBreak/>
        <w:t>ensuring the Secretariat records the interests discussed and the rationale for all decisions made</w:t>
      </w:r>
      <w:r w:rsidRPr="00CD24FF">
        <w:t xml:space="preserve">. </w:t>
      </w:r>
    </w:p>
    <w:p w:rsidR="00E82B25" w:rsidRPr="009B2B6A" w:rsidRDefault="00E82B25" w:rsidP="00D413A8">
      <w:pPr>
        <w:pStyle w:val="ListParagraph"/>
        <w:numPr>
          <w:ilvl w:val="0"/>
          <w:numId w:val="28"/>
        </w:numPr>
        <w:spacing w:before="120"/>
        <w:contextualSpacing w:val="0"/>
        <w:jc w:val="both"/>
        <w:rPr>
          <w:rFonts w:ascii="Arial" w:eastAsia="Times" w:hAnsi="Arial" w:cs="Times New Roman"/>
          <w:lang w:val="en-AU"/>
        </w:rPr>
      </w:pPr>
      <w:r>
        <w:t>The Board also has a range of available processes for assessing and responding to Conflicts of I</w:t>
      </w:r>
      <w:r w:rsidRPr="00CD24FF">
        <w:t>nterest</w:t>
      </w:r>
      <w:r>
        <w:t>.</w:t>
      </w:r>
      <w:r w:rsidRPr="00CD24FF">
        <w:t xml:space="preserve"> </w:t>
      </w:r>
      <w:r>
        <w:t xml:space="preserve">The </w:t>
      </w:r>
      <w:r w:rsidRPr="00ED6296">
        <w:rPr>
          <w:i/>
        </w:rPr>
        <w:t>Traffic Light</w:t>
      </w:r>
      <w:r>
        <w:t xml:space="preserve"> risk and response template supports consistency across conflicts and individuals. The Board may find:</w:t>
      </w:r>
    </w:p>
    <w:p w:rsidR="00E82B25" w:rsidRPr="0018220B" w:rsidRDefault="00E82B25" w:rsidP="00581585">
      <w:pPr>
        <w:spacing w:line="240" w:lineRule="auto"/>
        <w:ind w:left="709"/>
        <w:jc w:val="both"/>
        <w:rPr>
          <w:rFonts w:eastAsia="Times" w:cs="Times New Roman"/>
          <w:lang w:val="en-AU"/>
        </w:rPr>
      </w:pPr>
      <w:r w:rsidRPr="0018220B">
        <w:rPr>
          <w:rFonts w:eastAsia="Times" w:cs="Times New Roman"/>
          <w:b/>
          <w:lang w:val="en-AU"/>
        </w:rPr>
        <w:t>No conflict</w:t>
      </w:r>
      <w:r w:rsidRPr="0018220B">
        <w:rPr>
          <w:rFonts w:eastAsia="Times" w:cs="Times New Roman"/>
          <w:lang w:val="en-AU"/>
        </w:rPr>
        <w:t>: The Board may agree there is no relationship or potential benefit and no action required.</w:t>
      </w:r>
    </w:p>
    <w:p w:rsidR="00E82B25" w:rsidRPr="0018220B" w:rsidRDefault="00E82B25" w:rsidP="00581585">
      <w:pPr>
        <w:spacing w:line="240" w:lineRule="auto"/>
        <w:ind w:left="709"/>
        <w:jc w:val="both"/>
        <w:rPr>
          <w:rFonts w:eastAsia="Times" w:cs="Times New Roman"/>
          <w:lang w:val="en-AU"/>
        </w:rPr>
      </w:pPr>
      <w:r w:rsidRPr="0018220B">
        <w:rPr>
          <w:rFonts w:eastAsia="Times" w:cs="Times New Roman"/>
          <w:b/>
          <w:lang w:val="en-AU"/>
        </w:rPr>
        <w:t>Low level of conflict</w:t>
      </w:r>
      <w:r w:rsidRPr="0018220B">
        <w:rPr>
          <w:rFonts w:eastAsia="Times" w:cs="Times New Roman"/>
          <w:lang w:val="en-AU"/>
        </w:rPr>
        <w:t xml:space="preserve">: </w:t>
      </w:r>
      <w:r w:rsidRPr="00804CE1">
        <w:rPr>
          <w:rFonts w:eastAsia="Times" w:cs="Times New Roman"/>
          <w:lang w:val="en-AU"/>
        </w:rPr>
        <w:t>The Board may agree</w:t>
      </w:r>
      <w:r w:rsidRPr="0018220B">
        <w:rPr>
          <w:rFonts w:eastAsia="Times" w:cs="Times New Roman"/>
          <w:lang w:val="en-AU"/>
        </w:rPr>
        <w:t xml:space="preserve"> there is a low level of conflict or potential conflict. The Chair/Secretariat may determine specific actions to mitigate the risk, but that the member may still be involved in discussions, and decision-</w:t>
      </w:r>
      <w:r w:rsidR="00712EAE">
        <w:rPr>
          <w:rFonts w:eastAsia="Times" w:cs="Times New Roman"/>
          <w:lang w:val="en-AU"/>
        </w:rPr>
        <w:t>making or voting related to the</w:t>
      </w:r>
      <w:r w:rsidRPr="0018220B">
        <w:rPr>
          <w:rFonts w:eastAsia="Times" w:cs="Times New Roman"/>
          <w:lang w:val="en-AU"/>
        </w:rPr>
        <w:t xml:space="preserve"> issue.</w:t>
      </w:r>
    </w:p>
    <w:p w:rsidR="00E82B25" w:rsidRPr="0018220B" w:rsidRDefault="00E82B25" w:rsidP="00581585">
      <w:pPr>
        <w:spacing w:line="240" w:lineRule="auto"/>
        <w:ind w:left="709"/>
        <w:jc w:val="both"/>
        <w:rPr>
          <w:rFonts w:eastAsia="Times" w:cs="Times New Roman"/>
          <w:lang w:val="en-AU"/>
        </w:rPr>
      </w:pPr>
      <w:r w:rsidRPr="0018220B">
        <w:rPr>
          <w:rFonts w:eastAsia="Times" w:cs="Times New Roman"/>
          <w:b/>
          <w:lang w:val="en-AU"/>
        </w:rPr>
        <w:t>Medium level of conflict</w:t>
      </w:r>
      <w:r w:rsidRPr="0018220B">
        <w:rPr>
          <w:rFonts w:eastAsia="Times" w:cs="Times New Roman"/>
          <w:lang w:val="en-AU"/>
        </w:rPr>
        <w:t xml:space="preserve">: </w:t>
      </w:r>
      <w:r w:rsidRPr="00804CE1">
        <w:rPr>
          <w:rFonts w:eastAsia="Times" w:cs="Times New Roman"/>
          <w:lang w:val="en-AU"/>
        </w:rPr>
        <w:t>The Board may agree</w:t>
      </w:r>
      <w:r w:rsidRPr="0018220B">
        <w:rPr>
          <w:rFonts w:eastAsia="Times" w:cs="Times New Roman"/>
          <w:lang w:val="en-AU"/>
        </w:rPr>
        <w:t xml:space="preserve"> there is a medium level of conflict or potential conflict. The Chair/Secretariat may determine specific actions to mitigate the risk, and that the member may be involved in discussions, but not decision-making or voting rela</w:t>
      </w:r>
      <w:r w:rsidR="00712EAE">
        <w:rPr>
          <w:rFonts w:eastAsia="Times" w:cs="Times New Roman"/>
          <w:lang w:val="en-AU"/>
        </w:rPr>
        <w:t>ted to the</w:t>
      </w:r>
      <w:r w:rsidRPr="0018220B">
        <w:rPr>
          <w:rFonts w:eastAsia="Times" w:cs="Times New Roman"/>
          <w:lang w:val="en-AU"/>
        </w:rPr>
        <w:t xml:space="preserve"> issue. </w:t>
      </w:r>
    </w:p>
    <w:p w:rsidR="00E82B25" w:rsidRPr="0018220B" w:rsidRDefault="00E82B25" w:rsidP="00581585">
      <w:pPr>
        <w:spacing w:line="240" w:lineRule="auto"/>
        <w:ind w:left="709"/>
        <w:jc w:val="both"/>
        <w:rPr>
          <w:rFonts w:eastAsia="Times" w:cs="Times New Roman"/>
          <w:lang w:val="en-AU"/>
        </w:rPr>
      </w:pPr>
      <w:r w:rsidRPr="0018220B">
        <w:rPr>
          <w:rFonts w:eastAsia="Times" w:cs="Times New Roman"/>
          <w:b/>
          <w:lang w:val="en-AU"/>
        </w:rPr>
        <w:t>High level of conflict</w:t>
      </w:r>
      <w:r w:rsidRPr="0018220B">
        <w:rPr>
          <w:rFonts w:eastAsia="Times" w:cs="Times New Roman"/>
          <w:lang w:val="en-AU"/>
        </w:rPr>
        <w:t xml:space="preserve">: </w:t>
      </w:r>
      <w:r w:rsidRPr="00804CE1">
        <w:rPr>
          <w:rFonts w:eastAsia="Times" w:cs="Times New Roman"/>
          <w:lang w:val="en-AU"/>
        </w:rPr>
        <w:t>The Board may agree</w:t>
      </w:r>
      <w:r w:rsidRPr="0018220B">
        <w:rPr>
          <w:rFonts w:eastAsia="Times" w:cs="Times New Roman"/>
          <w:lang w:val="en-AU"/>
        </w:rPr>
        <w:t xml:space="preserve"> there is a high level of conflict or potential conflict. The Chair/Secretariat may determine specific actions to mitigate the risk, and that the member may be</w:t>
      </w:r>
      <w:r>
        <w:rPr>
          <w:rFonts w:eastAsia="Times" w:cs="Times New Roman"/>
          <w:lang w:val="en-AU"/>
        </w:rPr>
        <w:t xml:space="preserve"> partially excluded from the meeting. The member may be</w:t>
      </w:r>
      <w:r w:rsidRPr="0018220B">
        <w:rPr>
          <w:rFonts w:eastAsia="Times" w:cs="Times New Roman"/>
          <w:lang w:val="en-AU"/>
        </w:rPr>
        <w:t xml:space="preserve"> involved in discussions, but not </w:t>
      </w:r>
      <w:r>
        <w:rPr>
          <w:rFonts w:eastAsia="Times" w:cs="Times New Roman"/>
          <w:lang w:val="en-AU"/>
        </w:rPr>
        <w:t xml:space="preserve">in </w:t>
      </w:r>
      <w:r w:rsidRPr="0018220B">
        <w:rPr>
          <w:rFonts w:eastAsia="Times" w:cs="Times New Roman"/>
          <w:lang w:val="en-AU"/>
        </w:rPr>
        <w:t>decision-</w:t>
      </w:r>
      <w:r w:rsidR="00712EAE">
        <w:rPr>
          <w:rFonts w:eastAsia="Times" w:cs="Times New Roman"/>
          <w:lang w:val="en-AU"/>
        </w:rPr>
        <w:t>making or voting related to the</w:t>
      </w:r>
      <w:r w:rsidRPr="0018220B">
        <w:rPr>
          <w:rFonts w:eastAsia="Times" w:cs="Times New Roman"/>
          <w:lang w:val="en-AU"/>
        </w:rPr>
        <w:t xml:space="preserve"> issue.</w:t>
      </w:r>
    </w:p>
    <w:p w:rsidR="00E82B25" w:rsidRPr="0018220B" w:rsidRDefault="00E82B25" w:rsidP="00581585">
      <w:pPr>
        <w:spacing w:line="240" w:lineRule="auto"/>
        <w:ind w:left="709"/>
        <w:jc w:val="both"/>
        <w:rPr>
          <w:rFonts w:eastAsia="Times" w:cs="Times New Roman"/>
          <w:lang w:val="en-AU"/>
        </w:rPr>
      </w:pPr>
      <w:r w:rsidRPr="0018220B">
        <w:rPr>
          <w:rFonts w:eastAsia="Times" w:cs="Times New Roman"/>
          <w:b/>
          <w:lang w:val="en-AU"/>
        </w:rPr>
        <w:t>Very high level of conflict</w:t>
      </w:r>
      <w:r w:rsidRPr="0018220B">
        <w:rPr>
          <w:rFonts w:eastAsia="Times" w:cs="Times New Roman"/>
          <w:lang w:val="en-AU"/>
        </w:rPr>
        <w:t xml:space="preserve">: </w:t>
      </w:r>
      <w:r>
        <w:rPr>
          <w:rFonts w:eastAsia="Times" w:cs="Times New Roman"/>
          <w:lang w:val="en-AU"/>
        </w:rPr>
        <w:t>If t</w:t>
      </w:r>
      <w:r w:rsidRPr="00804CE1">
        <w:rPr>
          <w:rFonts w:eastAsia="Times" w:cs="Times New Roman"/>
          <w:lang w:val="en-AU"/>
        </w:rPr>
        <w:t>he Board agree</w:t>
      </w:r>
      <w:r>
        <w:rPr>
          <w:rFonts w:eastAsia="Times" w:cs="Times New Roman"/>
          <w:lang w:val="en-AU"/>
        </w:rPr>
        <w:t>s</w:t>
      </w:r>
      <w:r w:rsidRPr="0018220B">
        <w:rPr>
          <w:rFonts w:eastAsia="Times" w:cs="Times New Roman"/>
          <w:lang w:val="en-AU"/>
        </w:rPr>
        <w:t xml:space="preserve"> there is a </w:t>
      </w:r>
      <w:r>
        <w:rPr>
          <w:rFonts w:eastAsia="Times" w:cs="Times New Roman"/>
          <w:lang w:val="en-AU"/>
        </w:rPr>
        <w:t xml:space="preserve">very </w:t>
      </w:r>
      <w:r w:rsidRPr="0018220B">
        <w:rPr>
          <w:rFonts w:eastAsia="Times" w:cs="Times New Roman"/>
          <w:lang w:val="en-AU"/>
        </w:rPr>
        <w:t xml:space="preserve">high level of conflict or potential conflict the member </w:t>
      </w:r>
      <w:r>
        <w:rPr>
          <w:rFonts w:eastAsia="Times" w:cs="Times New Roman"/>
          <w:lang w:val="en-AU"/>
        </w:rPr>
        <w:t xml:space="preserve">is to be excluded and </w:t>
      </w:r>
      <w:r w:rsidRPr="0018220B">
        <w:rPr>
          <w:rFonts w:eastAsia="Times" w:cs="Times New Roman"/>
          <w:lang w:val="en-AU"/>
        </w:rPr>
        <w:t>must not be involved or participate in d</w:t>
      </w:r>
      <w:r>
        <w:rPr>
          <w:rFonts w:eastAsia="Times" w:cs="Times New Roman"/>
          <w:lang w:val="en-AU"/>
        </w:rPr>
        <w:t>iscussion or voting in any way o</w:t>
      </w:r>
      <w:r w:rsidR="00712EAE">
        <w:rPr>
          <w:rFonts w:eastAsia="Times" w:cs="Times New Roman"/>
          <w:lang w:val="en-AU"/>
        </w:rPr>
        <w:t>n the</w:t>
      </w:r>
      <w:r w:rsidRPr="0018220B">
        <w:rPr>
          <w:rFonts w:eastAsia="Times" w:cs="Times New Roman"/>
          <w:lang w:val="en-AU"/>
        </w:rPr>
        <w:t xml:space="preserve"> issue. The Chair/Secretariat may also determine specific actions to further mitigate the risk.</w:t>
      </w:r>
    </w:p>
    <w:p w:rsidR="00E82B25" w:rsidRPr="009B2B6A" w:rsidRDefault="00E82B25" w:rsidP="00D413A8">
      <w:pPr>
        <w:pStyle w:val="ListParagraph"/>
        <w:numPr>
          <w:ilvl w:val="0"/>
          <w:numId w:val="28"/>
        </w:numPr>
        <w:spacing w:before="120"/>
        <w:contextualSpacing w:val="0"/>
        <w:jc w:val="both"/>
        <w:rPr>
          <w:rFonts w:ascii="Arial" w:eastAsia="Times" w:hAnsi="Arial" w:cs="Times New Roman"/>
          <w:lang w:val="en-AU"/>
        </w:rPr>
      </w:pPr>
      <w:r>
        <w:t>The Board has a range of additional processes</w:t>
      </w:r>
      <w:r w:rsidRPr="00FC6480">
        <w:t xml:space="preserve"> </w:t>
      </w:r>
      <w:r>
        <w:t>available for responding to identified Conflicts of I</w:t>
      </w:r>
      <w:r w:rsidRPr="00CD24FF">
        <w:t>nterest</w:t>
      </w:r>
      <w:r>
        <w:t>:</w:t>
      </w:r>
      <w:r w:rsidRPr="00CD24FF">
        <w:t xml:space="preserve"> </w:t>
      </w:r>
    </w:p>
    <w:p w:rsidR="00E82B25" w:rsidRPr="00FC6480" w:rsidRDefault="00E82B25" w:rsidP="00746F2E">
      <w:pPr>
        <w:pStyle w:val="ListParagraph"/>
        <w:numPr>
          <w:ilvl w:val="0"/>
          <w:numId w:val="21"/>
        </w:numPr>
        <w:spacing w:before="120"/>
        <w:ind w:left="1134"/>
        <w:jc w:val="both"/>
        <w:rPr>
          <w:rFonts w:eastAsia="Times" w:cs="Times New Roman"/>
          <w:lang w:val="en-AU"/>
        </w:rPr>
      </w:pPr>
      <w:r w:rsidRPr="00FC6480">
        <w:rPr>
          <w:rFonts w:eastAsia="Times" w:cs="Times New Roman"/>
          <w:lang w:val="en-AU"/>
        </w:rPr>
        <w:t xml:space="preserve">The Board may consider </w:t>
      </w:r>
      <w:r>
        <w:rPr>
          <w:rFonts w:eastAsia="Times" w:cs="Times New Roman"/>
          <w:lang w:val="en-AU"/>
        </w:rPr>
        <w:t>sector</w:t>
      </w:r>
      <w:r w:rsidRPr="00FC6480">
        <w:rPr>
          <w:rFonts w:eastAsia="Times" w:cs="Times New Roman"/>
          <w:lang w:val="en-AU"/>
        </w:rPr>
        <w:t xml:space="preserve"> or targeted communication</w:t>
      </w:r>
      <w:r>
        <w:rPr>
          <w:rFonts w:eastAsia="Times" w:cs="Times New Roman"/>
          <w:lang w:val="en-AU"/>
        </w:rPr>
        <w:t xml:space="preserve"> to seek information or views, or to clarify or explain its decisions.</w:t>
      </w:r>
    </w:p>
    <w:p w:rsidR="00E82B25" w:rsidRPr="00FC6480" w:rsidRDefault="00E82B25" w:rsidP="00746F2E">
      <w:pPr>
        <w:pStyle w:val="ListParagraph"/>
        <w:numPr>
          <w:ilvl w:val="0"/>
          <w:numId w:val="21"/>
        </w:numPr>
        <w:spacing w:before="120"/>
        <w:ind w:left="1134"/>
        <w:jc w:val="both"/>
        <w:rPr>
          <w:rFonts w:ascii="Arial" w:eastAsia="Times" w:hAnsi="Arial" w:cs="Times New Roman"/>
          <w:lang w:val="en-AU"/>
        </w:rPr>
      </w:pPr>
      <w:r w:rsidRPr="006D059C">
        <w:t xml:space="preserve">From time to time the NZSL Board </w:t>
      </w:r>
      <w:r>
        <w:t>may</w:t>
      </w:r>
      <w:r w:rsidRPr="006D059C">
        <w:t xml:space="preserve"> </w:t>
      </w:r>
      <w:r>
        <w:t>seek advice from</w:t>
      </w:r>
      <w:r w:rsidRPr="006D059C">
        <w:t xml:space="preserve"> experts from outside of the Board to ensure that</w:t>
      </w:r>
      <w:r w:rsidR="00712EAE">
        <w:t>:</w:t>
      </w:r>
      <w:r w:rsidRPr="006D059C">
        <w:t xml:space="preserve"> </w:t>
      </w:r>
    </w:p>
    <w:p w:rsidR="00E82B25" w:rsidRPr="00FC6480" w:rsidRDefault="00E82B25" w:rsidP="00746F2E">
      <w:pPr>
        <w:pStyle w:val="ListParagraph"/>
        <w:numPr>
          <w:ilvl w:val="1"/>
          <w:numId w:val="21"/>
        </w:numPr>
        <w:spacing w:before="120" w:line="240" w:lineRule="auto"/>
        <w:ind w:left="1560" w:hanging="357"/>
        <w:contextualSpacing w:val="0"/>
        <w:jc w:val="both"/>
        <w:rPr>
          <w:rFonts w:ascii="Arial" w:eastAsia="Times" w:hAnsi="Arial" w:cs="Times New Roman"/>
          <w:lang w:val="en-AU"/>
        </w:rPr>
      </w:pPr>
      <w:r w:rsidRPr="006D059C">
        <w:t xml:space="preserve">broad perspectives regarding NZSL issues are </w:t>
      </w:r>
      <w:r>
        <w:t>considered</w:t>
      </w:r>
    </w:p>
    <w:p w:rsidR="00E82B25" w:rsidRPr="00FC6480" w:rsidRDefault="00E82B25" w:rsidP="00746F2E">
      <w:pPr>
        <w:pStyle w:val="ListParagraph"/>
        <w:numPr>
          <w:ilvl w:val="1"/>
          <w:numId w:val="21"/>
        </w:numPr>
        <w:spacing w:before="120" w:line="240" w:lineRule="auto"/>
        <w:ind w:left="1560" w:hanging="357"/>
        <w:contextualSpacing w:val="0"/>
        <w:jc w:val="both"/>
        <w:rPr>
          <w:rFonts w:ascii="Arial" w:eastAsia="Times" w:hAnsi="Arial" w:cs="Times New Roman"/>
          <w:lang w:val="en-AU"/>
        </w:rPr>
      </w:pPr>
      <w:r>
        <w:t>appropriate procurement and contracting processes are applied</w:t>
      </w:r>
    </w:p>
    <w:p w:rsidR="00E82B25" w:rsidRPr="00FC6480" w:rsidRDefault="00E82B25" w:rsidP="00746F2E">
      <w:pPr>
        <w:pStyle w:val="ListParagraph"/>
        <w:numPr>
          <w:ilvl w:val="1"/>
          <w:numId w:val="21"/>
        </w:numPr>
        <w:spacing w:before="120" w:line="240" w:lineRule="auto"/>
        <w:ind w:left="1560" w:hanging="357"/>
        <w:contextualSpacing w:val="0"/>
        <w:jc w:val="both"/>
        <w:rPr>
          <w:rFonts w:ascii="Arial" w:eastAsia="Times" w:hAnsi="Arial" w:cs="Times New Roman"/>
          <w:lang w:val="en-AU"/>
        </w:rPr>
      </w:pPr>
      <w:r>
        <w:t>ensure necessary legal advice is considered.</w:t>
      </w:r>
      <w:r w:rsidRPr="00FC6480">
        <w:rPr>
          <w:rFonts w:ascii="Arial" w:eastAsia="Times" w:hAnsi="Arial" w:cs="Times New Roman"/>
          <w:lang w:val="en-AU"/>
        </w:rPr>
        <w:t xml:space="preserve"> </w:t>
      </w:r>
    </w:p>
    <w:p w:rsidR="00E82B25" w:rsidRPr="00CD3E28" w:rsidRDefault="00E82B25" w:rsidP="00CD3E28">
      <w:pPr>
        <w:pStyle w:val="Heading3"/>
        <w:rPr>
          <w:lang w:val="en-AU" w:eastAsia="en-NZ"/>
        </w:rPr>
      </w:pPr>
      <w:r w:rsidRPr="00CD3E28">
        <w:rPr>
          <w:lang w:val="en-AU" w:eastAsia="en-NZ"/>
        </w:rPr>
        <w:t>Delegation of duties and powers of the Chair</w:t>
      </w:r>
    </w:p>
    <w:p w:rsidR="00E82B25" w:rsidRPr="00ED3D7F" w:rsidRDefault="00E82B25" w:rsidP="00D413A8">
      <w:pPr>
        <w:pStyle w:val="ListParagraph"/>
        <w:numPr>
          <w:ilvl w:val="0"/>
          <w:numId w:val="28"/>
        </w:numPr>
        <w:spacing w:before="120"/>
        <w:contextualSpacing w:val="0"/>
        <w:jc w:val="both"/>
        <w:rPr>
          <w:rFonts w:ascii="Arial" w:eastAsia="Times" w:hAnsi="Arial" w:cs="Times New Roman"/>
          <w:lang w:val="en-AU"/>
        </w:rPr>
      </w:pPr>
      <w:r>
        <w:t xml:space="preserve">Where the Chair is unable to attend a meeting, or because of </w:t>
      </w:r>
      <w:r w:rsidR="00D413A8">
        <w:t xml:space="preserve">actual or potential </w:t>
      </w:r>
      <w:r>
        <w:t>conflicts of interest, is unable to take part in discussions on a matter, or is otherwise unavailable, they may delegate the duties</w:t>
      </w:r>
      <w:r w:rsidR="00581585">
        <w:t xml:space="preserve"> and powers of the Chair for that</w:t>
      </w:r>
      <w:r>
        <w:t xml:space="preserve"> period to the Deputy Chair.</w:t>
      </w:r>
    </w:p>
    <w:p w:rsidR="00E82B25" w:rsidRPr="00812627" w:rsidRDefault="00E82B25" w:rsidP="00D413A8">
      <w:pPr>
        <w:pStyle w:val="ListParagraph"/>
        <w:numPr>
          <w:ilvl w:val="0"/>
          <w:numId w:val="28"/>
        </w:numPr>
        <w:spacing w:before="120"/>
        <w:contextualSpacing w:val="0"/>
        <w:jc w:val="both"/>
        <w:rPr>
          <w:rFonts w:ascii="Arial" w:eastAsia="Times" w:hAnsi="Arial" w:cs="Times New Roman"/>
          <w:lang w:val="en-AU"/>
        </w:rPr>
      </w:pPr>
      <w:r>
        <w:t>Where the Chair and</w:t>
      </w:r>
      <w:r w:rsidRPr="00812627">
        <w:t xml:space="preserve"> </w:t>
      </w:r>
      <w:r>
        <w:t xml:space="preserve">the Deputy Chair are unable to attend a meeting, or because of potential or </w:t>
      </w:r>
      <w:r w:rsidR="00D413A8">
        <w:t>actual</w:t>
      </w:r>
      <w:r w:rsidR="00581585">
        <w:t xml:space="preserve"> conflicts of interest, are</w:t>
      </w:r>
      <w:r>
        <w:t xml:space="preserve"> unable to take part in discussions on a matter, or are otherwise </w:t>
      </w:r>
      <w:r w:rsidRPr="00E82B25">
        <w:t>unavailable, the members of the Board may appoint a member or the Director of the Office for Disability Issues, or their representative, to assume the duties and powers of the Chair for that</w:t>
      </w:r>
      <w:r>
        <w:t xml:space="preserve"> period.</w:t>
      </w:r>
    </w:p>
    <w:p w:rsidR="00E82B25" w:rsidRPr="004628F2" w:rsidRDefault="00E82B25" w:rsidP="00D413A8">
      <w:pPr>
        <w:pStyle w:val="ListParagraph"/>
        <w:numPr>
          <w:ilvl w:val="0"/>
          <w:numId w:val="28"/>
        </w:numPr>
        <w:spacing w:before="120"/>
        <w:contextualSpacing w:val="0"/>
        <w:jc w:val="both"/>
        <w:rPr>
          <w:rFonts w:ascii="Arial" w:eastAsia="Times" w:hAnsi="Arial" w:cs="Times New Roman"/>
          <w:lang w:val="en-AU"/>
        </w:rPr>
      </w:pPr>
      <w:r>
        <w:rPr>
          <w:rFonts w:eastAsia="Times" w:cs="Times New Roman"/>
          <w:lang w:val="en-AU"/>
        </w:rPr>
        <w:t>Where</w:t>
      </w:r>
      <w:r w:rsidRPr="00881F37">
        <w:rPr>
          <w:rFonts w:eastAsia="Times" w:cs="Times New Roman"/>
          <w:lang w:val="en-AU"/>
        </w:rPr>
        <w:t xml:space="preserve"> a quorum cannot be achieved</w:t>
      </w:r>
      <w:r w:rsidR="000348C5" w:rsidRPr="000348C5">
        <w:rPr>
          <w:rFonts w:eastAsia="Times" w:cs="Times New Roman"/>
          <w:lang w:val="en-AU"/>
        </w:rPr>
        <w:t xml:space="preserve"> </w:t>
      </w:r>
      <w:r w:rsidR="000348C5">
        <w:rPr>
          <w:rFonts w:eastAsia="Times" w:cs="Times New Roman"/>
          <w:lang w:val="en-AU"/>
        </w:rPr>
        <w:t>due to the number of Board members with conflicts of interest</w:t>
      </w:r>
      <w:r>
        <w:rPr>
          <w:rFonts w:eastAsia="Times" w:cs="Times New Roman"/>
          <w:lang w:val="en-AU"/>
        </w:rPr>
        <w:t>, and at other times with the agreement of the Board,</w:t>
      </w:r>
      <w:r w:rsidRPr="00881F37">
        <w:t xml:space="preserve"> </w:t>
      </w:r>
      <w:r>
        <w:t>the duties and powers of the Chair will be d</w:t>
      </w:r>
      <w:r w:rsidRPr="00881F37">
        <w:t>elegate</w:t>
      </w:r>
      <w:r>
        <w:t>d</w:t>
      </w:r>
      <w:r w:rsidRPr="00881F37">
        <w:t xml:space="preserve"> to </w:t>
      </w:r>
      <w:r>
        <w:t>the Director of the Office for Disability Issues, or their representative.</w:t>
      </w:r>
    </w:p>
    <w:p w:rsidR="00E82B25" w:rsidRPr="00CD3E28" w:rsidRDefault="00E82B25" w:rsidP="00CD3E28">
      <w:pPr>
        <w:pStyle w:val="ListParagraph"/>
        <w:numPr>
          <w:ilvl w:val="0"/>
          <w:numId w:val="28"/>
        </w:numPr>
        <w:spacing w:before="120"/>
        <w:contextualSpacing w:val="0"/>
        <w:jc w:val="both"/>
        <w:rPr>
          <w:rFonts w:ascii="Arial" w:eastAsia="Times" w:hAnsi="Arial" w:cs="Times New Roman"/>
          <w:lang w:val="en-AU"/>
        </w:rPr>
      </w:pPr>
      <w:r>
        <w:t>When d</w:t>
      </w:r>
      <w:r w:rsidRPr="00881F37">
        <w:t>elegate</w:t>
      </w:r>
      <w:r>
        <w:t>d the duties and powers of the Chair, the</w:t>
      </w:r>
      <w:r w:rsidRPr="00881F37">
        <w:t xml:space="preserve"> </w:t>
      </w:r>
      <w:r>
        <w:t>Director of the Office for Disability Issues will seek advice and guidance from relevant parties within the Ministry of Social Development as needed.</w:t>
      </w:r>
    </w:p>
    <w:sectPr w:rsidR="00E82B25" w:rsidRPr="00CD3E28" w:rsidSect="004E6E45">
      <w:foot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7F" w:rsidRDefault="00F63B7F" w:rsidP="00FF13E9">
      <w:pPr>
        <w:spacing w:after="0" w:line="240" w:lineRule="auto"/>
      </w:pPr>
      <w:r>
        <w:separator/>
      </w:r>
    </w:p>
  </w:endnote>
  <w:endnote w:type="continuationSeparator" w:id="0">
    <w:p w:rsidR="00F63B7F" w:rsidRDefault="00F63B7F" w:rsidP="00FF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19655"/>
      <w:docPartObj>
        <w:docPartGallery w:val="Page Numbers (Bottom of Page)"/>
        <w:docPartUnique/>
      </w:docPartObj>
    </w:sdtPr>
    <w:sdtEndPr>
      <w:rPr>
        <w:noProof/>
      </w:rPr>
    </w:sdtEndPr>
    <w:sdtContent>
      <w:p w:rsidR="000B1E81" w:rsidRDefault="000B1E81">
        <w:pPr>
          <w:pStyle w:val="Footer"/>
          <w:jc w:val="right"/>
        </w:pPr>
        <w:r>
          <w:fldChar w:fldCharType="begin"/>
        </w:r>
        <w:r>
          <w:instrText xml:space="preserve"> PAGE   \* MERGEFORMAT </w:instrText>
        </w:r>
        <w:r>
          <w:fldChar w:fldCharType="separate"/>
        </w:r>
        <w:r w:rsidR="00322FA4">
          <w:rPr>
            <w:noProof/>
          </w:rPr>
          <w:t>1</w:t>
        </w:r>
        <w:r>
          <w:rPr>
            <w:noProof/>
          </w:rPr>
          <w:fldChar w:fldCharType="end"/>
        </w:r>
      </w:p>
    </w:sdtContent>
  </w:sdt>
  <w:p w:rsidR="00FF13E9" w:rsidRDefault="00FF1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7F" w:rsidRDefault="00F63B7F" w:rsidP="00FF13E9">
      <w:pPr>
        <w:spacing w:after="0" w:line="240" w:lineRule="auto"/>
      </w:pPr>
      <w:r>
        <w:separator/>
      </w:r>
    </w:p>
  </w:footnote>
  <w:footnote w:type="continuationSeparator" w:id="0">
    <w:p w:rsidR="00F63B7F" w:rsidRDefault="00F63B7F" w:rsidP="00FF13E9">
      <w:pPr>
        <w:spacing w:after="0" w:line="240" w:lineRule="auto"/>
      </w:pPr>
      <w:r>
        <w:continuationSeparator/>
      </w:r>
    </w:p>
  </w:footnote>
  <w:footnote w:id="1">
    <w:p w:rsidR="00E82B25" w:rsidRDefault="00E82B25" w:rsidP="00E82B25">
      <w:pPr>
        <w:pStyle w:val="FootnoteText"/>
      </w:pPr>
      <w:r>
        <w:rPr>
          <w:rStyle w:val="FootnoteReference"/>
        </w:rPr>
        <w:footnoteRef/>
      </w:r>
      <w:r>
        <w:t xml:space="preserve"> </w:t>
      </w:r>
      <w:hyperlink r:id="rId1" w:history="1">
        <w:r w:rsidRPr="00EE130D">
          <w:rPr>
            <w:rStyle w:val="Hyperlink"/>
          </w:rPr>
          <w:t>http://www.ssc.govt.nz/node/9242</w:t>
        </w:r>
      </w:hyperlink>
    </w:p>
  </w:footnote>
  <w:footnote w:id="2">
    <w:p w:rsidR="00E82B25" w:rsidRPr="003C3E5F" w:rsidRDefault="00E82B25" w:rsidP="00E82B25">
      <w:pPr>
        <w:pStyle w:val="FootnoteText"/>
      </w:pPr>
      <w:r w:rsidRPr="003C3E5F">
        <w:rPr>
          <w:rStyle w:val="FootnoteReference"/>
          <w:szCs w:val="18"/>
        </w:rPr>
        <w:footnoteRef/>
      </w:r>
      <w:r>
        <w:rPr>
          <w:szCs w:val="18"/>
        </w:rPr>
        <w:t xml:space="preserve">  </w:t>
      </w:r>
      <w:hyperlink r:id="rId2" w:history="1">
        <w:r w:rsidRPr="00EE130D">
          <w:rPr>
            <w:rStyle w:val="Hyperlink"/>
            <w:szCs w:val="18"/>
          </w:rPr>
          <w:t>http://www.oag.govt.nz/2007/conflicts-public-entities/docs/oag-conflicts-public-entities.pdf</w:t>
        </w:r>
      </w:hyperlink>
      <w:r>
        <w:rPr>
          <w:szCs w:val="18"/>
        </w:rPr>
        <w:t xml:space="preserve"> </w:t>
      </w:r>
    </w:p>
  </w:footnote>
  <w:footnote w:id="3">
    <w:p w:rsidR="00E82B25" w:rsidRPr="00EE76D0" w:rsidRDefault="00E82B25" w:rsidP="00E82B25">
      <w:pPr>
        <w:pStyle w:val="FootnoteText"/>
        <w:rPr>
          <w:lang w:val="mi-NZ"/>
        </w:rPr>
      </w:pPr>
      <w:r>
        <w:rPr>
          <w:rStyle w:val="FootnoteReference"/>
        </w:rPr>
        <w:footnoteRef/>
      </w:r>
      <w:r>
        <w:t xml:space="preserve">  </w:t>
      </w:r>
      <w:hyperlink r:id="rId3" w:history="1">
        <w:r w:rsidRPr="00EE130D">
          <w:rPr>
            <w:rStyle w:val="Hyperlink"/>
            <w:rFonts w:ascii="Arial" w:eastAsia="Times" w:hAnsi="Arial" w:cs="Times New Roman"/>
            <w:lang w:val="en-AU"/>
          </w:rPr>
          <w:t>http://www.oag.govt.nz/2007/conflicts-public-entities/</w:t>
        </w:r>
      </w:hyperlink>
      <w:r>
        <w:rPr>
          <w:rFonts w:ascii="Arial" w:eastAsia="Times" w:hAnsi="Arial" w:cs="Times New Roman"/>
          <w:lang w:val="en-AU"/>
        </w:rPr>
        <w:t xml:space="preserve"> </w:t>
      </w:r>
    </w:p>
  </w:footnote>
  <w:footnote w:id="4">
    <w:p w:rsidR="00E82B25" w:rsidRPr="003C3E5F" w:rsidRDefault="00E82B25" w:rsidP="00E82B25">
      <w:pPr>
        <w:pStyle w:val="FootnoteText"/>
        <w:rPr>
          <w:szCs w:val="18"/>
        </w:rPr>
      </w:pPr>
      <w:r w:rsidRPr="003C3E5F">
        <w:rPr>
          <w:rStyle w:val="FootnoteReference"/>
          <w:szCs w:val="18"/>
        </w:rPr>
        <w:footnoteRef/>
      </w:r>
      <w:r>
        <w:rPr>
          <w:szCs w:val="18"/>
        </w:rPr>
        <w:t xml:space="preserve">  </w:t>
      </w:r>
      <w:hyperlink r:id="rId4" w:history="1">
        <w:r w:rsidRPr="00EE130D">
          <w:rPr>
            <w:rStyle w:val="Hyperlink"/>
            <w:szCs w:val="18"/>
          </w:rPr>
          <w:t>http://www.goodpracticefunding.govt.nz/integrity/recognising-a-conflict-of-interest.html</w:t>
        </w:r>
      </w:hyperlink>
      <w:r>
        <w:rPr>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6F4350"/>
    <w:multiLevelType w:val="hybridMultilevel"/>
    <w:tmpl w:val="0E18F8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8C816E2"/>
    <w:multiLevelType w:val="hybridMultilevel"/>
    <w:tmpl w:val="02DAB0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197B4082"/>
    <w:multiLevelType w:val="hybridMultilevel"/>
    <w:tmpl w:val="D9983D4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5A867D4"/>
    <w:multiLevelType w:val="multilevel"/>
    <w:tmpl w:val="EF9E3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8D41061"/>
    <w:multiLevelType w:val="hybridMultilevel"/>
    <w:tmpl w:val="142AE99C"/>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C3F2F83"/>
    <w:multiLevelType w:val="hybridMultilevel"/>
    <w:tmpl w:val="E8E0713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2E3C012C"/>
    <w:multiLevelType w:val="hybridMultilevel"/>
    <w:tmpl w:val="E85C98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nsid w:val="31C22992"/>
    <w:multiLevelType w:val="hybridMultilevel"/>
    <w:tmpl w:val="DC6A6D0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3A790526"/>
    <w:multiLevelType w:val="hybridMultilevel"/>
    <w:tmpl w:val="56BE10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3D2C1093"/>
    <w:multiLevelType w:val="hybridMultilevel"/>
    <w:tmpl w:val="F0709F48"/>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6">
    <w:nsid w:val="40165AB6"/>
    <w:multiLevelType w:val="hybridMultilevel"/>
    <w:tmpl w:val="637AB8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1BC0583"/>
    <w:multiLevelType w:val="hybridMultilevel"/>
    <w:tmpl w:val="68F04BB6"/>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AC525BE"/>
    <w:multiLevelType w:val="hybridMultilevel"/>
    <w:tmpl w:val="142AE99C"/>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2C92E5C"/>
    <w:multiLevelType w:val="hybridMultilevel"/>
    <w:tmpl w:val="68F04BB6"/>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4F87959"/>
    <w:multiLevelType w:val="multilevel"/>
    <w:tmpl w:val="2F4CC93C"/>
    <w:lvl w:ilvl="0">
      <w:start w:val="1"/>
      <w:numFmt w:val="decimal"/>
      <w:lvlText w:val="%1."/>
      <w:lvlJc w:val="left"/>
      <w:pPr>
        <w:tabs>
          <w:tab w:val="num" w:pos="924"/>
        </w:tabs>
        <w:ind w:left="924" w:hanging="924"/>
      </w:pPr>
      <w:rPr>
        <w:b w:val="0"/>
        <w:i w:val="0"/>
        <w:sz w:val="24"/>
      </w:rPr>
    </w:lvl>
    <w:lvl w:ilvl="1">
      <w:start w:val="1"/>
      <w:numFmt w:val="decimal"/>
      <w:lvlText w:val="%1.%2"/>
      <w:lvlJc w:val="left"/>
      <w:pPr>
        <w:tabs>
          <w:tab w:val="num" w:pos="924"/>
        </w:tabs>
        <w:ind w:left="924" w:hanging="924"/>
      </w:pPr>
      <w:rPr>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nsid w:val="560D6633"/>
    <w:multiLevelType w:val="hybridMultilevel"/>
    <w:tmpl w:val="938CCA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652750F7"/>
    <w:multiLevelType w:val="hybridMultilevel"/>
    <w:tmpl w:val="9E78F7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6B5C6DF6"/>
    <w:multiLevelType w:val="hybridMultilevel"/>
    <w:tmpl w:val="72B4D36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10216D9"/>
    <w:multiLevelType w:val="multilevel"/>
    <w:tmpl w:val="75DE25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17725E1"/>
    <w:multiLevelType w:val="hybridMultilevel"/>
    <w:tmpl w:val="68F04BB6"/>
    <w:lvl w:ilvl="0" w:tplc="B524BE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375107A"/>
    <w:multiLevelType w:val="hybridMultilevel"/>
    <w:tmpl w:val="7D06CA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nsid w:val="78DF649B"/>
    <w:multiLevelType w:val="hybridMultilevel"/>
    <w:tmpl w:val="CD4EE4E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4"/>
  </w:num>
  <w:num w:numId="5">
    <w:abstractNumId w:val="5"/>
  </w:num>
  <w:num w:numId="6">
    <w:abstractNumId w:val="19"/>
  </w:num>
  <w:num w:numId="7">
    <w:abstractNumId w:val="28"/>
  </w:num>
  <w:num w:numId="8">
    <w:abstractNumId w:val="2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3">
    <w:abstractNumId w:val="8"/>
  </w:num>
  <w:num w:numId="14">
    <w:abstractNumId w:val="25"/>
  </w:num>
  <w:num w:numId="15">
    <w:abstractNumId w:val="16"/>
  </w:num>
  <w:num w:numId="16">
    <w:abstractNumId w:val="3"/>
  </w:num>
  <w:num w:numId="17">
    <w:abstractNumId w:val="2"/>
  </w:num>
  <w:num w:numId="18">
    <w:abstractNumId w:val="26"/>
  </w:num>
  <w:num w:numId="19">
    <w:abstractNumId w:val="11"/>
  </w:num>
  <w:num w:numId="20">
    <w:abstractNumId w:val="13"/>
  </w:num>
  <w:num w:numId="21">
    <w:abstractNumId w:val="7"/>
  </w:num>
  <w:num w:numId="22">
    <w:abstractNumId w:val="14"/>
  </w:num>
  <w:num w:numId="23">
    <w:abstractNumId w:val="10"/>
  </w:num>
  <w:num w:numId="24">
    <w:abstractNumId w:val="20"/>
  </w:num>
  <w:num w:numId="25">
    <w:abstractNumId w:val="18"/>
  </w:num>
  <w:num w:numId="26">
    <w:abstractNumId w:val="27"/>
  </w:num>
  <w:num w:numId="27">
    <w:abstractNumId w:val="17"/>
  </w:num>
  <w:num w:numId="28">
    <w:abstractNumId w:val="9"/>
  </w:num>
  <w:num w:numId="2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8C"/>
    <w:rsid w:val="00000B4C"/>
    <w:rsid w:val="00005BBE"/>
    <w:rsid w:val="000106D0"/>
    <w:rsid w:val="00011A79"/>
    <w:rsid w:val="000216CD"/>
    <w:rsid w:val="000331FC"/>
    <w:rsid w:val="00034336"/>
    <w:rsid w:val="000348C5"/>
    <w:rsid w:val="00037CB0"/>
    <w:rsid w:val="0004110A"/>
    <w:rsid w:val="000605A6"/>
    <w:rsid w:val="00073800"/>
    <w:rsid w:val="00076706"/>
    <w:rsid w:val="00093099"/>
    <w:rsid w:val="00097E88"/>
    <w:rsid w:val="000A206F"/>
    <w:rsid w:val="000A576B"/>
    <w:rsid w:val="000B0B2D"/>
    <w:rsid w:val="000B1D79"/>
    <w:rsid w:val="000B1E81"/>
    <w:rsid w:val="000E3BB9"/>
    <w:rsid w:val="001047EC"/>
    <w:rsid w:val="00104DD2"/>
    <w:rsid w:val="00106AED"/>
    <w:rsid w:val="001125BD"/>
    <w:rsid w:val="001366BB"/>
    <w:rsid w:val="00137085"/>
    <w:rsid w:val="0016187B"/>
    <w:rsid w:val="00176962"/>
    <w:rsid w:val="001B5110"/>
    <w:rsid w:val="001B7E0B"/>
    <w:rsid w:val="001D3744"/>
    <w:rsid w:val="00213DA6"/>
    <w:rsid w:val="00216302"/>
    <w:rsid w:val="00217710"/>
    <w:rsid w:val="00223C2C"/>
    <w:rsid w:val="00236D2D"/>
    <w:rsid w:val="00244BF4"/>
    <w:rsid w:val="00245A2B"/>
    <w:rsid w:val="00251679"/>
    <w:rsid w:val="0025538D"/>
    <w:rsid w:val="002561AA"/>
    <w:rsid w:val="00272139"/>
    <w:rsid w:val="002762AE"/>
    <w:rsid w:val="002A0695"/>
    <w:rsid w:val="002B6453"/>
    <w:rsid w:val="002C6030"/>
    <w:rsid w:val="002D1C62"/>
    <w:rsid w:val="002D367B"/>
    <w:rsid w:val="002D46A6"/>
    <w:rsid w:val="002E5183"/>
    <w:rsid w:val="003059E6"/>
    <w:rsid w:val="003070D7"/>
    <w:rsid w:val="00322FA4"/>
    <w:rsid w:val="00354EC2"/>
    <w:rsid w:val="00392465"/>
    <w:rsid w:val="00397220"/>
    <w:rsid w:val="0039742C"/>
    <w:rsid w:val="003A307F"/>
    <w:rsid w:val="003B0A38"/>
    <w:rsid w:val="003B480E"/>
    <w:rsid w:val="003B5713"/>
    <w:rsid w:val="003B7553"/>
    <w:rsid w:val="003C5D0C"/>
    <w:rsid w:val="003E3722"/>
    <w:rsid w:val="003F41C2"/>
    <w:rsid w:val="004053AA"/>
    <w:rsid w:val="004227ED"/>
    <w:rsid w:val="00445BCE"/>
    <w:rsid w:val="00454F25"/>
    <w:rsid w:val="00455C5B"/>
    <w:rsid w:val="00457364"/>
    <w:rsid w:val="004710B8"/>
    <w:rsid w:val="0047445B"/>
    <w:rsid w:val="00477FEB"/>
    <w:rsid w:val="00480B21"/>
    <w:rsid w:val="0049304E"/>
    <w:rsid w:val="004A324E"/>
    <w:rsid w:val="004B1BC7"/>
    <w:rsid w:val="004B4F80"/>
    <w:rsid w:val="004C4E81"/>
    <w:rsid w:val="004D3940"/>
    <w:rsid w:val="004D7E5B"/>
    <w:rsid w:val="004E6E45"/>
    <w:rsid w:val="004E770B"/>
    <w:rsid w:val="005146AA"/>
    <w:rsid w:val="00533E65"/>
    <w:rsid w:val="00550264"/>
    <w:rsid w:val="00556E99"/>
    <w:rsid w:val="0056681E"/>
    <w:rsid w:val="00572AA9"/>
    <w:rsid w:val="00581585"/>
    <w:rsid w:val="00583BBE"/>
    <w:rsid w:val="00584EC7"/>
    <w:rsid w:val="0059261B"/>
    <w:rsid w:val="00595906"/>
    <w:rsid w:val="005968B2"/>
    <w:rsid w:val="005B0709"/>
    <w:rsid w:val="005B11F9"/>
    <w:rsid w:val="005D4CDB"/>
    <w:rsid w:val="005E2E77"/>
    <w:rsid w:val="0061641C"/>
    <w:rsid w:val="00631D73"/>
    <w:rsid w:val="00636CF9"/>
    <w:rsid w:val="00644FB1"/>
    <w:rsid w:val="00653985"/>
    <w:rsid w:val="006572B8"/>
    <w:rsid w:val="00683659"/>
    <w:rsid w:val="00683FCD"/>
    <w:rsid w:val="006B19BD"/>
    <w:rsid w:val="006C30BF"/>
    <w:rsid w:val="006D61E1"/>
    <w:rsid w:val="006F13E4"/>
    <w:rsid w:val="00712EAE"/>
    <w:rsid w:val="007165E4"/>
    <w:rsid w:val="00734A5E"/>
    <w:rsid w:val="00746F2E"/>
    <w:rsid w:val="0075336A"/>
    <w:rsid w:val="007535A8"/>
    <w:rsid w:val="0075779A"/>
    <w:rsid w:val="007601A9"/>
    <w:rsid w:val="00762DAD"/>
    <w:rsid w:val="00781315"/>
    <w:rsid w:val="00795E10"/>
    <w:rsid w:val="007B201A"/>
    <w:rsid w:val="007B2874"/>
    <w:rsid w:val="007B532B"/>
    <w:rsid w:val="007C2143"/>
    <w:rsid w:val="007F3ACD"/>
    <w:rsid w:val="007F540A"/>
    <w:rsid w:val="0080133F"/>
    <w:rsid w:val="0080498F"/>
    <w:rsid w:val="00810502"/>
    <w:rsid w:val="00822AD7"/>
    <w:rsid w:val="00850540"/>
    <w:rsid w:val="00853B3E"/>
    <w:rsid w:val="00855412"/>
    <w:rsid w:val="00860654"/>
    <w:rsid w:val="008940A3"/>
    <w:rsid w:val="00895677"/>
    <w:rsid w:val="008A632E"/>
    <w:rsid w:val="008C6257"/>
    <w:rsid w:val="008C6F7F"/>
    <w:rsid w:val="008C7AB6"/>
    <w:rsid w:val="008F3598"/>
    <w:rsid w:val="008F4222"/>
    <w:rsid w:val="00903467"/>
    <w:rsid w:val="00906EAA"/>
    <w:rsid w:val="00913C52"/>
    <w:rsid w:val="009420FE"/>
    <w:rsid w:val="00970DD2"/>
    <w:rsid w:val="0097368C"/>
    <w:rsid w:val="00985AD1"/>
    <w:rsid w:val="009939B1"/>
    <w:rsid w:val="00996A8C"/>
    <w:rsid w:val="009975DA"/>
    <w:rsid w:val="009D027C"/>
    <w:rsid w:val="009D0BF2"/>
    <w:rsid w:val="009D15F1"/>
    <w:rsid w:val="009D2B10"/>
    <w:rsid w:val="009D6E5A"/>
    <w:rsid w:val="009F1E86"/>
    <w:rsid w:val="009F25BA"/>
    <w:rsid w:val="00A01728"/>
    <w:rsid w:val="00A078FD"/>
    <w:rsid w:val="00A15245"/>
    <w:rsid w:val="00A2199C"/>
    <w:rsid w:val="00A43896"/>
    <w:rsid w:val="00A50AD0"/>
    <w:rsid w:val="00A6244E"/>
    <w:rsid w:val="00A72D65"/>
    <w:rsid w:val="00A973A1"/>
    <w:rsid w:val="00AA00EE"/>
    <w:rsid w:val="00AA4A05"/>
    <w:rsid w:val="00AC3F18"/>
    <w:rsid w:val="00AE215C"/>
    <w:rsid w:val="00AE2DD5"/>
    <w:rsid w:val="00B030A3"/>
    <w:rsid w:val="00B11449"/>
    <w:rsid w:val="00B41635"/>
    <w:rsid w:val="00B4299E"/>
    <w:rsid w:val="00B474F6"/>
    <w:rsid w:val="00B5357A"/>
    <w:rsid w:val="00B609A4"/>
    <w:rsid w:val="00B65ABA"/>
    <w:rsid w:val="00B76B60"/>
    <w:rsid w:val="00B804F4"/>
    <w:rsid w:val="00B91B48"/>
    <w:rsid w:val="00BC2A23"/>
    <w:rsid w:val="00BE10F5"/>
    <w:rsid w:val="00BF6E75"/>
    <w:rsid w:val="00C12CA5"/>
    <w:rsid w:val="00C1504B"/>
    <w:rsid w:val="00C21D35"/>
    <w:rsid w:val="00C329B6"/>
    <w:rsid w:val="00C41358"/>
    <w:rsid w:val="00C436C3"/>
    <w:rsid w:val="00C503A7"/>
    <w:rsid w:val="00C5215F"/>
    <w:rsid w:val="00C5769E"/>
    <w:rsid w:val="00C60165"/>
    <w:rsid w:val="00C73CBA"/>
    <w:rsid w:val="00C83DF0"/>
    <w:rsid w:val="00CB4A28"/>
    <w:rsid w:val="00CB65C2"/>
    <w:rsid w:val="00CD3E28"/>
    <w:rsid w:val="00CE0E18"/>
    <w:rsid w:val="00CE70F0"/>
    <w:rsid w:val="00CF40DE"/>
    <w:rsid w:val="00D04ACD"/>
    <w:rsid w:val="00D21E77"/>
    <w:rsid w:val="00D25661"/>
    <w:rsid w:val="00D34EA0"/>
    <w:rsid w:val="00D37DE3"/>
    <w:rsid w:val="00D413A8"/>
    <w:rsid w:val="00D8322E"/>
    <w:rsid w:val="00D9172A"/>
    <w:rsid w:val="00D97CCC"/>
    <w:rsid w:val="00DC4AAE"/>
    <w:rsid w:val="00DD396B"/>
    <w:rsid w:val="00DD6907"/>
    <w:rsid w:val="00DD7526"/>
    <w:rsid w:val="00DE7B47"/>
    <w:rsid w:val="00DF37EF"/>
    <w:rsid w:val="00E10429"/>
    <w:rsid w:val="00E37879"/>
    <w:rsid w:val="00E44DC4"/>
    <w:rsid w:val="00E671C3"/>
    <w:rsid w:val="00E7407E"/>
    <w:rsid w:val="00E82B25"/>
    <w:rsid w:val="00E84D33"/>
    <w:rsid w:val="00E87C9D"/>
    <w:rsid w:val="00E90142"/>
    <w:rsid w:val="00E9269E"/>
    <w:rsid w:val="00EA3510"/>
    <w:rsid w:val="00ED640E"/>
    <w:rsid w:val="00EE00D1"/>
    <w:rsid w:val="00EE21C7"/>
    <w:rsid w:val="00EE5876"/>
    <w:rsid w:val="00EF1DA6"/>
    <w:rsid w:val="00F06EE8"/>
    <w:rsid w:val="00F07349"/>
    <w:rsid w:val="00F113EF"/>
    <w:rsid w:val="00F126F3"/>
    <w:rsid w:val="00F14460"/>
    <w:rsid w:val="00F14980"/>
    <w:rsid w:val="00F22AE5"/>
    <w:rsid w:val="00F23144"/>
    <w:rsid w:val="00F52790"/>
    <w:rsid w:val="00F63B7F"/>
    <w:rsid w:val="00F65E64"/>
    <w:rsid w:val="00F73F5A"/>
    <w:rsid w:val="00F80AA3"/>
    <w:rsid w:val="00F829C0"/>
    <w:rsid w:val="00F829F6"/>
    <w:rsid w:val="00FA0303"/>
    <w:rsid w:val="00FA55D6"/>
    <w:rsid w:val="00FB341F"/>
    <w:rsid w:val="00FC2D6F"/>
    <w:rsid w:val="00FD4DE3"/>
    <w:rsid w:val="00FF13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unhideWhenUsed="1" w:qFormat="1"/>
    <w:lsdException w:name="footnote reference" w:uiPriority="0"/>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176962"/>
    <w:pPr>
      <w:spacing w:after="120" w:line="288" w:lineRule="auto"/>
    </w:pPr>
    <w:rPr>
      <w:rFonts w:ascii="Arial Mäori" w:hAnsi="Arial Mäori"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781315"/>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781315"/>
    <w:rPr>
      <w:rFonts w:ascii="Arial Mäori" w:hAnsi="Arial Mäori"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Mäori" w:eastAsiaTheme="majorEastAsia" w:hAnsi="Arial Mäori"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qFormat/>
    <w:rsid w:val="003E3722"/>
    <w:pPr>
      <w:spacing w:after="0" w:line="240" w:lineRule="auto"/>
    </w:pPr>
    <w:rPr>
      <w:sz w:val="18"/>
      <w:szCs w:val="20"/>
    </w:rPr>
  </w:style>
  <w:style w:type="character" w:customStyle="1" w:styleId="FootnoteTextChar">
    <w:name w:val="Footnote Text Char"/>
    <w:basedOn w:val="DefaultParagraphFont"/>
    <w:link w:val="FootnoteText"/>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st1">
    <w:name w:val="st1"/>
    <w:basedOn w:val="DefaultParagraphFont"/>
    <w:rsid w:val="00996A8C"/>
  </w:style>
  <w:style w:type="paragraph" w:styleId="Header">
    <w:name w:val="header"/>
    <w:basedOn w:val="Normal"/>
    <w:link w:val="HeaderChar"/>
    <w:uiPriority w:val="99"/>
    <w:semiHidden/>
    <w:rsid w:val="00FF13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3E9"/>
    <w:rPr>
      <w:rFonts w:ascii="Verdana" w:hAnsi="Verdana" w:cs="Arial"/>
      <w:szCs w:val="22"/>
    </w:rPr>
  </w:style>
  <w:style w:type="character" w:customStyle="1" w:styleId="il">
    <w:name w:val="il"/>
    <w:basedOn w:val="DefaultParagraphFont"/>
    <w:rsid w:val="005968B2"/>
  </w:style>
  <w:style w:type="character" w:styleId="FootnoteReference">
    <w:name w:val="footnote reference"/>
    <w:rsid w:val="00781315"/>
    <w:rPr>
      <w:vertAlign w:val="superscript"/>
    </w:rPr>
  </w:style>
  <w:style w:type="paragraph" w:styleId="CommentSubject">
    <w:name w:val="annotation subject"/>
    <w:basedOn w:val="CommentText"/>
    <w:next w:val="CommentText"/>
    <w:link w:val="CommentSubjectChar"/>
    <w:uiPriority w:val="99"/>
    <w:semiHidden/>
    <w:rsid w:val="00B91B48"/>
    <w:rPr>
      <w:b/>
      <w:bCs/>
    </w:rPr>
  </w:style>
  <w:style w:type="character" w:customStyle="1" w:styleId="CommentSubjectChar">
    <w:name w:val="Comment Subject Char"/>
    <w:basedOn w:val="CommentTextChar"/>
    <w:link w:val="CommentSubject"/>
    <w:uiPriority w:val="99"/>
    <w:semiHidden/>
    <w:rsid w:val="00B91B48"/>
    <w:rPr>
      <w:rFonts w:ascii="Arial Mäori" w:hAnsi="Arial Mäori" w:cs="Arial"/>
      <w:b/>
      <w:bCs/>
    </w:rPr>
  </w:style>
  <w:style w:type="paragraph" w:customStyle="1" w:styleId="MEDbullet">
    <w:name w:val="MED bullet"/>
    <w:basedOn w:val="Normal"/>
    <w:qFormat/>
    <w:rsid w:val="00850540"/>
    <w:pPr>
      <w:spacing w:line="240" w:lineRule="auto"/>
      <w:ind w:left="425" w:hanging="425"/>
    </w:pPr>
    <w:rPr>
      <w:rFonts w:ascii="Arial" w:eastAsia="Cambria" w:hAnsi="Arial" w:cs="Times New Roman"/>
      <w:sz w:val="21"/>
      <w:szCs w:val="24"/>
      <w:lang w:val="en-AU"/>
    </w:rPr>
  </w:style>
  <w:style w:type="character" w:styleId="Hyperlink">
    <w:name w:val="Hyperlink"/>
    <w:uiPriority w:val="99"/>
    <w:semiHidden/>
    <w:rsid w:val="007B532B"/>
    <w:rPr>
      <w:color w:val="0000FF"/>
      <w:u w:val="single"/>
    </w:rPr>
  </w:style>
  <w:style w:type="character" w:styleId="PageNumber">
    <w:name w:val="page number"/>
    <w:basedOn w:val="DefaultParagraphFont"/>
    <w:rsid w:val="007B532B"/>
  </w:style>
  <w:style w:type="paragraph" w:customStyle="1" w:styleId="TemplateFooter">
    <w:name w:val="_Template Footer"/>
    <w:basedOn w:val="Footer"/>
    <w:semiHidden/>
    <w:qFormat/>
    <w:rsid w:val="007B532B"/>
    <w:pPr>
      <w:tabs>
        <w:tab w:val="clear" w:pos="4513"/>
        <w:tab w:val="clear" w:pos="9026"/>
        <w:tab w:val="center" w:pos="4320"/>
        <w:tab w:val="right" w:pos="8640"/>
      </w:tabs>
      <w:suppressAutoHyphens/>
      <w:autoSpaceDE w:val="0"/>
      <w:autoSpaceDN w:val="0"/>
      <w:adjustRightInd w:val="0"/>
      <w:spacing w:before="120" w:after="120" w:line="280" w:lineRule="atLeast"/>
      <w:ind w:right="360"/>
      <w:textAlignment w:val="center"/>
    </w:pPr>
    <w:rPr>
      <w:rFonts w:ascii="Verdana" w:eastAsia="Times New Roman" w:hAnsi="Verdana"/>
      <w:sz w:val="16"/>
      <w:szCs w:val="18"/>
      <w:lang w:eastAsia="en-NZ"/>
    </w:rPr>
  </w:style>
  <w:style w:type="paragraph" w:customStyle="1" w:styleId="ReportBody">
    <w:name w:val="Report Body"/>
    <w:basedOn w:val="Normal"/>
    <w:link w:val="ReportBodyChar"/>
    <w:qFormat/>
    <w:rsid w:val="007B532B"/>
    <w:pPr>
      <w:numPr>
        <w:numId w:val="12"/>
      </w:numPr>
      <w:spacing w:before="120" w:line="240" w:lineRule="auto"/>
    </w:pPr>
    <w:rPr>
      <w:rFonts w:ascii="Verdana" w:eastAsia="Times New Roman" w:hAnsi="Verdana"/>
      <w:color w:val="000000"/>
      <w:kern w:val="22"/>
      <w:szCs w:val="20"/>
      <w:lang w:eastAsia="en-NZ"/>
    </w:rPr>
  </w:style>
  <w:style w:type="character" w:customStyle="1" w:styleId="ReportBodyChar">
    <w:name w:val="Report Body Char"/>
    <w:basedOn w:val="DefaultParagraphFont"/>
    <w:link w:val="ReportBody"/>
    <w:rsid w:val="007B532B"/>
    <w:rPr>
      <w:rFonts w:ascii="Verdana" w:eastAsia="Times New Roman" w:hAnsi="Verdana" w:cs="Arial"/>
      <w:color w:val="000000"/>
      <w:kern w:val="22"/>
      <w:lang w:eastAsia="en-NZ"/>
    </w:rPr>
  </w:style>
  <w:style w:type="paragraph" w:customStyle="1" w:styleId="ReportBody2">
    <w:name w:val="Report Body 2"/>
    <w:basedOn w:val="ReportBody"/>
    <w:qFormat/>
    <w:rsid w:val="007B532B"/>
    <w:pPr>
      <w:numPr>
        <w:ilvl w:val="1"/>
      </w:numPr>
      <w:tabs>
        <w:tab w:val="clear" w:pos="493"/>
        <w:tab w:val="num" w:pos="360"/>
      </w:tabs>
      <w:ind w:left="720" w:hanging="360"/>
    </w:pPr>
  </w:style>
  <w:style w:type="table" w:customStyle="1" w:styleId="ProcurementTemplates">
    <w:name w:val="Procurement Templates"/>
    <w:basedOn w:val="TableNormal"/>
    <w:uiPriority w:val="99"/>
    <w:qFormat/>
    <w:rsid w:val="007B532B"/>
    <w:pPr>
      <w:spacing w:before="360" w:after="240" w:line="240" w:lineRule="atLeast"/>
      <w:ind w:left="1134" w:hanging="1134"/>
    </w:pPr>
    <w:rPr>
      <w:rFonts w:ascii="Arial" w:eastAsia="Times New Roman" w:hAnsi="Arial"/>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pPr>
      <w:rPr>
        <w:rFonts w:ascii="Arial" w:hAnsi="Arial"/>
        <w:b w:val="0"/>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character" w:customStyle="1" w:styleId="ListParagraphChar">
    <w:name w:val="List Paragraph Char"/>
    <w:aliases w:val="bullet list Char"/>
    <w:basedOn w:val="DefaultParagraphFont"/>
    <w:link w:val="ListParagraph"/>
    <w:uiPriority w:val="34"/>
    <w:locked/>
    <w:rsid w:val="00E82B25"/>
    <w:rPr>
      <w:rFonts w:ascii="Arial Mäori" w:hAnsi="Arial Mäori"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unhideWhenUsed="1" w:qFormat="1"/>
    <w:lsdException w:name="footnote reference" w:uiPriority="0"/>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176962"/>
    <w:pPr>
      <w:spacing w:after="120" w:line="288" w:lineRule="auto"/>
    </w:pPr>
    <w:rPr>
      <w:rFonts w:ascii="Arial Mäori" w:hAnsi="Arial Mäori"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781315"/>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781315"/>
    <w:rPr>
      <w:rFonts w:ascii="Arial Mäori" w:hAnsi="Arial Mäori"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Arial Mäori" w:eastAsiaTheme="majorEastAsia" w:hAnsi="Arial Mäori"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qFormat/>
    <w:rsid w:val="003E3722"/>
    <w:pPr>
      <w:spacing w:after="0" w:line="240" w:lineRule="auto"/>
    </w:pPr>
    <w:rPr>
      <w:sz w:val="18"/>
      <w:szCs w:val="20"/>
    </w:rPr>
  </w:style>
  <w:style w:type="character" w:customStyle="1" w:styleId="FootnoteTextChar">
    <w:name w:val="Footnote Text Char"/>
    <w:basedOn w:val="DefaultParagraphFont"/>
    <w:link w:val="FootnoteText"/>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st1">
    <w:name w:val="st1"/>
    <w:basedOn w:val="DefaultParagraphFont"/>
    <w:rsid w:val="00996A8C"/>
  </w:style>
  <w:style w:type="paragraph" w:styleId="Header">
    <w:name w:val="header"/>
    <w:basedOn w:val="Normal"/>
    <w:link w:val="HeaderChar"/>
    <w:uiPriority w:val="99"/>
    <w:semiHidden/>
    <w:rsid w:val="00FF13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3E9"/>
    <w:rPr>
      <w:rFonts w:ascii="Verdana" w:hAnsi="Verdana" w:cs="Arial"/>
      <w:szCs w:val="22"/>
    </w:rPr>
  </w:style>
  <w:style w:type="character" w:customStyle="1" w:styleId="il">
    <w:name w:val="il"/>
    <w:basedOn w:val="DefaultParagraphFont"/>
    <w:rsid w:val="005968B2"/>
  </w:style>
  <w:style w:type="character" w:styleId="FootnoteReference">
    <w:name w:val="footnote reference"/>
    <w:rsid w:val="00781315"/>
    <w:rPr>
      <w:vertAlign w:val="superscript"/>
    </w:rPr>
  </w:style>
  <w:style w:type="paragraph" w:styleId="CommentSubject">
    <w:name w:val="annotation subject"/>
    <w:basedOn w:val="CommentText"/>
    <w:next w:val="CommentText"/>
    <w:link w:val="CommentSubjectChar"/>
    <w:uiPriority w:val="99"/>
    <w:semiHidden/>
    <w:rsid w:val="00B91B48"/>
    <w:rPr>
      <w:b/>
      <w:bCs/>
    </w:rPr>
  </w:style>
  <w:style w:type="character" w:customStyle="1" w:styleId="CommentSubjectChar">
    <w:name w:val="Comment Subject Char"/>
    <w:basedOn w:val="CommentTextChar"/>
    <w:link w:val="CommentSubject"/>
    <w:uiPriority w:val="99"/>
    <w:semiHidden/>
    <w:rsid w:val="00B91B48"/>
    <w:rPr>
      <w:rFonts w:ascii="Arial Mäori" w:hAnsi="Arial Mäori" w:cs="Arial"/>
      <w:b/>
      <w:bCs/>
    </w:rPr>
  </w:style>
  <w:style w:type="paragraph" w:customStyle="1" w:styleId="MEDbullet">
    <w:name w:val="MED bullet"/>
    <w:basedOn w:val="Normal"/>
    <w:qFormat/>
    <w:rsid w:val="00850540"/>
    <w:pPr>
      <w:spacing w:line="240" w:lineRule="auto"/>
      <w:ind w:left="425" w:hanging="425"/>
    </w:pPr>
    <w:rPr>
      <w:rFonts w:ascii="Arial" w:eastAsia="Cambria" w:hAnsi="Arial" w:cs="Times New Roman"/>
      <w:sz w:val="21"/>
      <w:szCs w:val="24"/>
      <w:lang w:val="en-AU"/>
    </w:rPr>
  </w:style>
  <w:style w:type="character" w:styleId="Hyperlink">
    <w:name w:val="Hyperlink"/>
    <w:uiPriority w:val="99"/>
    <w:semiHidden/>
    <w:rsid w:val="007B532B"/>
    <w:rPr>
      <w:color w:val="0000FF"/>
      <w:u w:val="single"/>
    </w:rPr>
  </w:style>
  <w:style w:type="character" w:styleId="PageNumber">
    <w:name w:val="page number"/>
    <w:basedOn w:val="DefaultParagraphFont"/>
    <w:rsid w:val="007B532B"/>
  </w:style>
  <w:style w:type="paragraph" w:customStyle="1" w:styleId="TemplateFooter">
    <w:name w:val="_Template Footer"/>
    <w:basedOn w:val="Footer"/>
    <w:semiHidden/>
    <w:qFormat/>
    <w:rsid w:val="007B532B"/>
    <w:pPr>
      <w:tabs>
        <w:tab w:val="clear" w:pos="4513"/>
        <w:tab w:val="clear" w:pos="9026"/>
        <w:tab w:val="center" w:pos="4320"/>
        <w:tab w:val="right" w:pos="8640"/>
      </w:tabs>
      <w:suppressAutoHyphens/>
      <w:autoSpaceDE w:val="0"/>
      <w:autoSpaceDN w:val="0"/>
      <w:adjustRightInd w:val="0"/>
      <w:spacing w:before="120" w:after="120" w:line="280" w:lineRule="atLeast"/>
      <w:ind w:right="360"/>
      <w:textAlignment w:val="center"/>
    </w:pPr>
    <w:rPr>
      <w:rFonts w:ascii="Verdana" w:eastAsia="Times New Roman" w:hAnsi="Verdana"/>
      <w:sz w:val="16"/>
      <w:szCs w:val="18"/>
      <w:lang w:eastAsia="en-NZ"/>
    </w:rPr>
  </w:style>
  <w:style w:type="paragraph" w:customStyle="1" w:styleId="ReportBody">
    <w:name w:val="Report Body"/>
    <w:basedOn w:val="Normal"/>
    <w:link w:val="ReportBodyChar"/>
    <w:qFormat/>
    <w:rsid w:val="007B532B"/>
    <w:pPr>
      <w:numPr>
        <w:numId w:val="12"/>
      </w:numPr>
      <w:spacing w:before="120" w:line="240" w:lineRule="auto"/>
    </w:pPr>
    <w:rPr>
      <w:rFonts w:ascii="Verdana" w:eastAsia="Times New Roman" w:hAnsi="Verdana"/>
      <w:color w:val="000000"/>
      <w:kern w:val="22"/>
      <w:szCs w:val="20"/>
      <w:lang w:eastAsia="en-NZ"/>
    </w:rPr>
  </w:style>
  <w:style w:type="character" w:customStyle="1" w:styleId="ReportBodyChar">
    <w:name w:val="Report Body Char"/>
    <w:basedOn w:val="DefaultParagraphFont"/>
    <w:link w:val="ReportBody"/>
    <w:rsid w:val="007B532B"/>
    <w:rPr>
      <w:rFonts w:ascii="Verdana" w:eastAsia="Times New Roman" w:hAnsi="Verdana" w:cs="Arial"/>
      <w:color w:val="000000"/>
      <w:kern w:val="22"/>
      <w:lang w:eastAsia="en-NZ"/>
    </w:rPr>
  </w:style>
  <w:style w:type="paragraph" w:customStyle="1" w:styleId="ReportBody2">
    <w:name w:val="Report Body 2"/>
    <w:basedOn w:val="ReportBody"/>
    <w:qFormat/>
    <w:rsid w:val="007B532B"/>
    <w:pPr>
      <w:numPr>
        <w:ilvl w:val="1"/>
      </w:numPr>
      <w:tabs>
        <w:tab w:val="clear" w:pos="493"/>
        <w:tab w:val="num" w:pos="360"/>
      </w:tabs>
      <w:ind w:left="720" w:hanging="360"/>
    </w:pPr>
  </w:style>
  <w:style w:type="table" w:customStyle="1" w:styleId="ProcurementTemplates">
    <w:name w:val="Procurement Templates"/>
    <w:basedOn w:val="TableNormal"/>
    <w:uiPriority w:val="99"/>
    <w:qFormat/>
    <w:rsid w:val="007B532B"/>
    <w:pPr>
      <w:spacing w:before="360" w:after="240" w:line="240" w:lineRule="atLeast"/>
      <w:ind w:left="1134" w:hanging="1134"/>
    </w:pPr>
    <w:rPr>
      <w:rFonts w:ascii="Arial" w:eastAsia="Times New Roman" w:hAnsi="Arial"/>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pPr>
      <w:rPr>
        <w:rFonts w:ascii="Arial" w:hAnsi="Arial"/>
        <w:b w:val="0"/>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character" w:customStyle="1" w:styleId="ListParagraphChar">
    <w:name w:val="List Paragraph Char"/>
    <w:aliases w:val="bullet list Char"/>
    <w:basedOn w:val="DefaultParagraphFont"/>
    <w:link w:val="ListParagraph"/>
    <w:uiPriority w:val="34"/>
    <w:locked/>
    <w:rsid w:val="00E82B25"/>
    <w:rPr>
      <w:rFonts w:ascii="Arial Mäori" w:hAnsi="Arial Mäor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7901">
      <w:bodyDiv w:val="1"/>
      <w:marLeft w:val="0"/>
      <w:marRight w:val="0"/>
      <w:marTop w:val="0"/>
      <w:marBottom w:val="0"/>
      <w:divBdr>
        <w:top w:val="none" w:sz="0" w:space="0" w:color="auto"/>
        <w:left w:val="none" w:sz="0" w:space="0" w:color="auto"/>
        <w:bottom w:val="none" w:sz="0" w:space="0" w:color="auto"/>
        <w:right w:val="none" w:sz="0" w:space="0" w:color="auto"/>
      </w:divBdr>
      <w:divsChild>
        <w:div w:id="546527216">
          <w:marLeft w:val="0"/>
          <w:marRight w:val="0"/>
          <w:marTop w:val="0"/>
          <w:marBottom w:val="0"/>
          <w:divBdr>
            <w:top w:val="none" w:sz="0" w:space="0" w:color="auto"/>
            <w:left w:val="none" w:sz="0" w:space="0" w:color="auto"/>
            <w:bottom w:val="none" w:sz="0" w:space="0" w:color="auto"/>
            <w:right w:val="none" w:sz="0" w:space="0" w:color="auto"/>
          </w:divBdr>
        </w:div>
      </w:divsChild>
    </w:div>
    <w:div w:id="1225485118">
      <w:bodyDiv w:val="1"/>
      <w:marLeft w:val="0"/>
      <w:marRight w:val="0"/>
      <w:marTop w:val="0"/>
      <w:marBottom w:val="0"/>
      <w:divBdr>
        <w:top w:val="none" w:sz="0" w:space="0" w:color="auto"/>
        <w:left w:val="none" w:sz="0" w:space="0" w:color="auto"/>
        <w:bottom w:val="none" w:sz="0" w:space="0" w:color="auto"/>
        <w:right w:val="none" w:sz="0" w:space="0" w:color="auto"/>
      </w:divBdr>
    </w:div>
    <w:div w:id="1227061131">
      <w:bodyDiv w:val="1"/>
      <w:marLeft w:val="0"/>
      <w:marRight w:val="0"/>
      <w:marTop w:val="0"/>
      <w:marBottom w:val="0"/>
      <w:divBdr>
        <w:top w:val="none" w:sz="0" w:space="0" w:color="auto"/>
        <w:left w:val="none" w:sz="0" w:space="0" w:color="auto"/>
        <w:bottom w:val="none" w:sz="0" w:space="0" w:color="auto"/>
        <w:right w:val="none" w:sz="0" w:space="0" w:color="auto"/>
      </w:divBdr>
      <w:divsChild>
        <w:div w:id="3146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g.govt.nz/2007/conflicts-public-entities/" TargetMode="External"/><Relationship Id="rId2" Type="http://schemas.openxmlformats.org/officeDocument/2006/relationships/hyperlink" Target="http://www.oag.govt.nz/2007/conflicts-public-entities/docs/oag-conflicts-public-entities.pdf" TargetMode="External"/><Relationship Id="rId1" Type="http://schemas.openxmlformats.org/officeDocument/2006/relationships/hyperlink" Target="http://www.ssc.govt.nz/node/9242" TargetMode="External"/><Relationship Id="rId4" Type="http://schemas.openxmlformats.org/officeDocument/2006/relationships/hyperlink" Target="http://www.goodpracticefunding.govt.nz/integrity/recognising-a-conflict-of-inter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C490-B6B8-4842-86BE-8F0DDC2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1698</Words>
  <Characters>9682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Laird</dc:creator>
  <cp:lastModifiedBy>Windows User</cp:lastModifiedBy>
  <cp:revision>2</cp:revision>
  <cp:lastPrinted>2015-09-01T22:33:00Z</cp:lastPrinted>
  <dcterms:created xsi:type="dcterms:W3CDTF">2019-05-20T23:39:00Z</dcterms:created>
  <dcterms:modified xsi:type="dcterms:W3CDTF">2019-05-20T23:39:00Z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A10877417</vt:lpwstr>
  </property>
  <property fmtid="{D5CDD505-2E9C-101B-9397-08002B2CF9AE}" pid="4" name="Objective-Title">
    <vt:lpwstr>2018 10 26 Conflict of interest policy</vt:lpwstr>
  </property>
  <property fmtid="{D5CDD505-2E9C-101B-9397-08002B2CF9AE}" pid="5" name="Objective-Comment">
    <vt:lpwstr/>
  </property>
  <property fmtid="{D5CDD505-2E9C-101B-9397-08002B2CF9AE}" pid="6" name="Objective-CreationStamp">
    <vt:filetime>2018-10-14T23:16:21Z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2019-04-17T02:24:00Z</vt:filetime>
  </property>
  <property fmtid="{D5CDD505-2E9C-101B-9397-08002B2CF9AE}" pid="10" name="Objective-ModificationStamp">
    <vt:filetime>2019-04-17T02:24:00Z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Board:Governance/Guidelines/Principles:Policies:Interests:C</vt:lpwstr>
  </property>
  <property fmtid="{D5CDD505-2E9C-101B-9397-08002B2CF9AE}" pid="13" name="Objective-Parent">
    <vt:lpwstr>Conflict of Interest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OM/DI/06/04/09/19-4027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