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9" w:rsidRDefault="00546038">
      <w:bookmarkStart w:id="0" w:name="_GoBack"/>
      <w:bookmarkEnd w:id="0"/>
      <w:r>
        <w:rPr>
          <w:noProof/>
          <w:color w:val="0000FF"/>
          <w:lang w:eastAsia="en-NZ"/>
        </w:rPr>
        <w:drawing>
          <wp:inline distT="0" distB="0" distL="0" distR="0">
            <wp:extent cx="1188720" cy="441960"/>
            <wp:effectExtent l="0" t="0" r="0" b="0"/>
            <wp:docPr id="2" name="Picture 2" descr="cid:3__=43BB0B50DFE40BB88f9e8a93df@stats.govt.n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__=43BB0B50DFE40BB88f9e8a93df@stats.govt.n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>
        <w:br/>
      </w:r>
      <w:r w:rsidR="00063C74"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C11DDCE" wp14:editId="2476ED39">
            <wp:simplePos x="0" y="0"/>
            <wp:positionH relativeFrom="column">
              <wp:posOffset>3740785</wp:posOffset>
            </wp:positionH>
            <wp:positionV relativeFrom="paragraph">
              <wp:posOffset>-187325</wp:posOffset>
            </wp:positionV>
            <wp:extent cx="2536190" cy="944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C74">
        <w:tab/>
      </w:r>
      <w:r w:rsidR="00063C74">
        <w:tab/>
      </w:r>
      <w:r w:rsidR="00063C74">
        <w:tab/>
      </w:r>
      <w:r w:rsidR="00063C74">
        <w:tab/>
      </w:r>
      <w:r w:rsidR="00063C74">
        <w:tab/>
      </w:r>
      <w:r w:rsidR="00063C74">
        <w:tab/>
      </w:r>
      <w:r w:rsidR="00063C74">
        <w:tab/>
      </w:r>
    </w:p>
    <w:p w:rsidR="00063C74" w:rsidRPr="00E75929" w:rsidRDefault="00E75929" w:rsidP="00E75929">
      <w:pPr>
        <w:jc w:val="center"/>
        <w:rPr>
          <w:rFonts w:ascii="Verdana" w:hAnsi="Verdana"/>
          <w:b/>
          <w:sz w:val="32"/>
          <w:szCs w:val="32"/>
        </w:rPr>
      </w:pPr>
      <w:r w:rsidRPr="00E75929">
        <w:rPr>
          <w:rFonts w:ascii="Verdana" w:hAnsi="Verdana"/>
          <w:b/>
          <w:sz w:val="32"/>
          <w:szCs w:val="32"/>
        </w:rPr>
        <w:t>SUMMARY</w:t>
      </w:r>
    </w:p>
    <w:p w:rsidR="00E75929" w:rsidRPr="00E75929" w:rsidRDefault="00E75929" w:rsidP="00E75929">
      <w:pPr>
        <w:jc w:val="center"/>
        <w:rPr>
          <w:rFonts w:ascii="Verdana" w:hAnsi="Verdana"/>
          <w:b/>
          <w:sz w:val="28"/>
          <w:szCs w:val="28"/>
        </w:rPr>
      </w:pPr>
      <w:r w:rsidRPr="00E75929">
        <w:rPr>
          <w:rFonts w:ascii="Verdana" w:hAnsi="Verdana"/>
          <w:b/>
          <w:sz w:val="28"/>
          <w:szCs w:val="28"/>
        </w:rPr>
        <w:t>Disability Data and Evidence Working Group</w:t>
      </w:r>
    </w:p>
    <w:p w:rsidR="00E75929" w:rsidRPr="00E75929" w:rsidRDefault="00E75929" w:rsidP="00E75929">
      <w:pPr>
        <w:rPr>
          <w:rFonts w:ascii="Verdana" w:hAnsi="Verdana"/>
          <w:b/>
          <w:szCs w:val="20"/>
        </w:rPr>
      </w:pPr>
      <w:r w:rsidRPr="00E75929">
        <w:rPr>
          <w:rFonts w:ascii="Verdana" w:hAnsi="Verdana"/>
          <w:b/>
          <w:szCs w:val="20"/>
        </w:rPr>
        <w:t>Date:</w:t>
      </w:r>
      <w:r w:rsidRPr="00E75929">
        <w:rPr>
          <w:rFonts w:ascii="Verdana" w:hAnsi="Verdana"/>
          <w:b/>
          <w:szCs w:val="20"/>
        </w:rPr>
        <w:tab/>
      </w:r>
      <w:r w:rsidRPr="00E75929">
        <w:rPr>
          <w:rFonts w:ascii="Verdana" w:hAnsi="Verdana"/>
          <w:b/>
          <w:szCs w:val="20"/>
        </w:rPr>
        <w:tab/>
      </w:r>
      <w:r>
        <w:rPr>
          <w:rFonts w:ascii="Verdana" w:hAnsi="Verdana"/>
          <w:szCs w:val="20"/>
        </w:rPr>
        <w:t>5 October 2017</w:t>
      </w:r>
      <w:r w:rsidRPr="00E75929">
        <w:rPr>
          <w:rFonts w:ascii="Verdana" w:hAnsi="Verdana"/>
          <w:szCs w:val="20"/>
        </w:rPr>
        <w:tab/>
      </w:r>
      <w:r w:rsidRPr="00E75929">
        <w:rPr>
          <w:rFonts w:ascii="Verdana" w:hAnsi="Verdana"/>
          <w:szCs w:val="20"/>
        </w:rPr>
        <w:tab/>
      </w:r>
      <w:r w:rsidRPr="00E75929">
        <w:rPr>
          <w:rFonts w:ascii="Verdana" w:hAnsi="Verdana"/>
          <w:szCs w:val="20"/>
        </w:rPr>
        <w:tab/>
      </w:r>
      <w:r w:rsidRPr="00E75929">
        <w:rPr>
          <w:rFonts w:ascii="Verdana" w:hAnsi="Verdana"/>
          <w:b/>
          <w:szCs w:val="20"/>
        </w:rPr>
        <w:t>Time:</w:t>
      </w:r>
      <w:r w:rsidRPr="00E75929">
        <w:rPr>
          <w:rFonts w:ascii="Verdana" w:hAnsi="Verdana"/>
          <w:b/>
          <w:szCs w:val="20"/>
        </w:rPr>
        <w:tab/>
      </w:r>
      <w:r>
        <w:rPr>
          <w:rFonts w:ascii="Verdana" w:hAnsi="Verdana"/>
          <w:szCs w:val="20"/>
        </w:rPr>
        <w:t>11.00am – 4</w:t>
      </w:r>
      <w:r w:rsidRPr="00E75929">
        <w:rPr>
          <w:rFonts w:ascii="Verdana" w:hAnsi="Verdana"/>
          <w:szCs w:val="20"/>
        </w:rPr>
        <w:t>.00pm</w:t>
      </w:r>
    </w:p>
    <w:p w:rsidR="00E75929" w:rsidRPr="00E75929" w:rsidRDefault="00E75929" w:rsidP="00E75929">
      <w:pPr>
        <w:rPr>
          <w:rFonts w:ascii="Verdana" w:hAnsi="Verdana"/>
          <w:szCs w:val="20"/>
        </w:rPr>
      </w:pPr>
      <w:r w:rsidRPr="00E75929">
        <w:rPr>
          <w:rFonts w:ascii="Verdana" w:hAnsi="Verdana"/>
          <w:b/>
          <w:szCs w:val="20"/>
        </w:rPr>
        <w:t>Venue:</w:t>
      </w:r>
      <w:r w:rsidRPr="00E75929">
        <w:rPr>
          <w:rFonts w:ascii="Verdana" w:hAnsi="Verdana"/>
          <w:b/>
          <w:szCs w:val="20"/>
        </w:rPr>
        <w:tab/>
      </w:r>
      <w:r>
        <w:rPr>
          <w:rFonts w:ascii="Verdana" w:hAnsi="Verdana"/>
          <w:szCs w:val="20"/>
        </w:rPr>
        <w:t>2.3 Tui, Aurora Centre, 56 The Terrace, Wellington</w:t>
      </w:r>
    </w:p>
    <w:p w:rsidR="00E75929" w:rsidRPr="00E75929" w:rsidRDefault="00E75929" w:rsidP="00E75929">
      <w:pPr>
        <w:rPr>
          <w:rFonts w:ascii="Verdana" w:hAnsi="Verdana"/>
          <w:szCs w:val="20"/>
        </w:rPr>
      </w:pPr>
      <w:r w:rsidRPr="00E75929">
        <w:rPr>
          <w:rFonts w:ascii="Verdana" w:hAnsi="Verdana"/>
          <w:b/>
          <w:szCs w:val="20"/>
        </w:rPr>
        <w:t>Attendees:</w:t>
      </w:r>
      <w:r w:rsidRPr="00E75929">
        <w:rPr>
          <w:rFonts w:ascii="Verdana" w:hAnsi="Verdana"/>
          <w:b/>
          <w:szCs w:val="20"/>
        </w:rPr>
        <w:tab/>
      </w:r>
      <w:r w:rsidRPr="00E75929">
        <w:rPr>
          <w:rFonts w:ascii="Verdana" w:hAnsi="Verdana"/>
          <w:i/>
          <w:szCs w:val="20"/>
        </w:rPr>
        <w:t>Government agencies</w:t>
      </w:r>
    </w:p>
    <w:p w:rsidR="00E75929" w:rsidRPr="00E75929" w:rsidRDefault="00E75929" w:rsidP="00E75929">
      <w:pPr>
        <w:pStyle w:val="ListParagraph"/>
        <w:numPr>
          <w:ilvl w:val="0"/>
          <w:numId w:val="1"/>
        </w:numPr>
        <w:rPr>
          <w:szCs w:val="20"/>
        </w:rPr>
      </w:pPr>
      <w:r w:rsidRPr="00E75929">
        <w:rPr>
          <w:szCs w:val="20"/>
        </w:rPr>
        <w:t>Office fo</w:t>
      </w:r>
      <w:r>
        <w:rPr>
          <w:szCs w:val="20"/>
        </w:rPr>
        <w:t>r Disability Issues: Brian Coffey</w:t>
      </w:r>
      <w:r w:rsidRPr="00E75929">
        <w:rPr>
          <w:szCs w:val="20"/>
        </w:rPr>
        <w:t xml:space="preserve"> (Chair),</w:t>
      </w:r>
      <w:r w:rsidR="005D177A">
        <w:rPr>
          <w:szCs w:val="20"/>
        </w:rPr>
        <w:t xml:space="preserve"> Jacinda Keith</w:t>
      </w:r>
      <w:r w:rsidR="004A3633">
        <w:rPr>
          <w:szCs w:val="20"/>
        </w:rPr>
        <w:t xml:space="preserve"> and</w:t>
      </w:r>
      <w:r w:rsidR="006A2926">
        <w:rPr>
          <w:szCs w:val="20"/>
        </w:rPr>
        <w:t xml:space="preserve"> </w:t>
      </w:r>
      <w:r w:rsidR="004311DB">
        <w:rPr>
          <w:szCs w:val="20"/>
        </w:rPr>
        <w:t xml:space="preserve">Dr </w:t>
      </w:r>
      <w:r w:rsidRPr="00E75929">
        <w:rPr>
          <w:szCs w:val="20"/>
        </w:rPr>
        <w:t>Catherine Brennan</w:t>
      </w:r>
    </w:p>
    <w:p w:rsidR="00E75929" w:rsidRPr="00E75929" w:rsidRDefault="00E75929" w:rsidP="00E75929">
      <w:pPr>
        <w:pStyle w:val="ListParagraph"/>
        <w:numPr>
          <w:ilvl w:val="0"/>
          <w:numId w:val="1"/>
        </w:numPr>
        <w:rPr>
          <w:szCs w:val="20"/>
        </w:rPr>
      </w:pPr>
      <w:r w:rsidRPr="00E75929">
        <w:rPr>
          <w:szCs w:val="20"/>
        </w:rPr>
        <w:t>Statistics New Zealand</w:t>
      </w:r>
      <w:r w:rsidR="006A2926">
        <w:rPr>
          <w:szCs w:val="20"/>
        </w:rPr>
        <w:t>: Diane Ramsay, Calli Seedall,</w:t>
      </w:r>
      <w:r w:rsidRPr="00E75929">
        <w:rPr>
          <w:szCs w:val="20"/>
        </w:rPr>
        <w:t xml:space="preserve"> Phillipa O’Brien</w:t>
      </w:r>
      <w:r w:rsidR="006A2926">
        <w:rPr>
          <w:szCs w:val="20"/>
        </w:rPr>
        <w:t xml:space="preserve"> and Elodie Green</w:t>
      </w:r>
    </w:p>
    <w:p w:rsidR="00E75929" w:rsidRPr="00E75929" w:rsidRDefault="006A2926" w:rsidP="00E7592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Ministry of Social Development: Anne Hawker</w:t>
      </w:r>
    </w:p>
    <w:p w:rsidR="00E75929" w:rsidRPr="00E75929" w:rsidRDefault="00E75929" w:rsidP="00E75929">
      <w:pPr>
        <w:pStyle w:val="ListParagraph"/>
        <w:numPr>
          <w:ilvl w:val="0"/>
          <w:numId w:val="1"/>
        </w:numPr>
        <w:rPr>
          <w:szCs w:val="20"/>
        </w:rPr>
      </w:pPr>
      <w:r w:rsidRPr="00E75929">
        <w:rPr>
          <w:szCs w:val="20"/>
        </w:rPr>
        <w:t>Minis</w:t>
      </w:r>
      <w:r w:rsidR="006A2926">
        <w:rPr>
          <w:szCs w:val="20"/>
        </w:rPr>
        <w:t>try of Education: Shiona Beverstock</w:t>
      </w:r>
    </w:p>
    <w:p w:rsidR="00E75929" w:rsidRPr="00E75929" w:rsidRDefault="00E75929" w:rsidP="00E75929">
      <w:pPr>
        <w:pStyle w:val="ListParagraph"/>
        <w:numPr>
          <w:ilvl w:val="0"/>
          <w:numId w:val="1"/>
        </w:numPr>
        <w:rPr>
          <w:szCs w:val="20"/>
        </w:rPr>
      </w:pPr>
      <w:r w:rsidRPr="00E75929">
        <w:rPr>
          <w:szCs w:val="20"/>
        </w:rPr>
        <w:t xml:space="preserve">Ministry of Health: </w:t>
      </w:r>
      <w:r w:rsidR="006A2926">
        <w:rPr>
          <w:szCs w:val="20"/>
        </w:rPr>
        <w:t>Lauren Jones, Chloe Lynch and Sue Jansen</w:t>
      </w:r>
    </w:p>
    <w:p w:rsidR="006A2926" w:rsidRDefault="006A2926" w:rsidP="006A2926">
      <w:pPr>
        <w:ind w:left="1440"/>
        <w:rPr>
          <w:rFonts w:ascii="Verdana" w:hAnsi="Verdana"/>
          <w:i/>
          <w:szCs w:val="20"/>
        </w:rPr>
      </w:pPr>
      <w:r w:rsidRPr="006A2926">
        <w:rPr>
          <w:rFonts w:ascii="Verdana" w:hAnsi="Verdana"/>
          <w:i/>
          <w:szCs w:val="20"/>
        </w:rPr>
        <w:t>Independent agencies</w:t>
      </w:r>
    </w:p>
    <w:p w:rsidR="006A2926" w:rsidRPr="006A2926" w:rsidRDefault="00197DC0" w:rsidP="00197DC0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Human Rights Commission: Paula Tesoriero and Douglas Hancock</w:t>
      </w:r>
    </w:p>
    <w:p w:rsidR="00E75929" w:rsidRPr="00E75929" w:rsidRDefault="00E75929" w:rsidP="00E75929">
      <w:pPr>
        <w:ind w:left="1440"/>
        <w:rPr>
          <w:rFonts w:ascii="Verdana" w:hAnsi="Verdana"/>
          <w:i/>
          <w:szCs w:val="20"/>
        </w:rPr>
      </w:pPr>
      <w:r w:rsidRPr="00E75929">
        <w:rPr>
          <w:rFonts w:ascii="Verdana" w:hAnsi="Verdana"/>
          <w:i/>
          <w:szCs w:val="20"/>
        </w:rPr>
        <w:t>New Zealand Disability Support Network</w:t>
      </w:r>
    </w:p>
    <w:p w:rsidR="00E75929" w:rsidRDefault="00E75929" w:rsidP="00E75929">
      <w:pPr>
        <w:pStyle w:val="ListParagraph"/>
        <w:numPr>
          <w:ilvl w:val="0"/>
          <w:numId w:val="2"/>
        </w:numPr>
        <w:rPr>
          <w:szCs w:val="20"/>
        </w:rPr>
      </w:pPr>
      <w:r w:rsidRPr="00E75929">
        <w:rPr>
          <w:szCs w:val="20"/>
        </w:rPr>
        <w:t>Sam Murray (CCS Disability Action)</w:t>
      </w:r>
    </w:p>
    <w:p w:rsidR="006A2926" w:rsidRDefault="006A2926" w:rsidP="006A2926">
      <w:pPr>
        <w:ind w:left="1440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>Disabled People’s Organisations</w:t>
      </w:r>
    </w:p>
    <w:p w:rsidR="006A2926" w:rsidRPr="006A2926" w:rsidRDefault="004311DB" w:rsidP="006A2926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Dr </w:t>
      </w:r>
      <w:r w:rsidR="006A2926">
        <w:rPr>
          <w:szCs w:val="20"/>
        </w:rPr>
        <w:t>Jonathan Godfrey</w:t>
      </w:r>
    </w:p>
    <w:p w:rsidR="00E75929" w:rsidRDefault="00E75929" w:rsidP="00E75929">
      <w:pPr>
        <w:rPr>
          <w:rFonts w:ascii="Verdana" w:hAnsi="Verdana"/>
          <w:sz w:val="20"/>
          <w:szCs w:val="20"/>
        </w:rPr>
      </w:pPr>
      <w:r w:rsidRPr="00E75929">
        <w:rPr>
          <w:rFonts w:ascii="Verdana" w:hAnsi="Verdana"/>
          <w:b/>
          <w:szCs w:val="20"/>
        </w:rPr>
        <w:t xml:space="preserve">Apologies:    </w:t>
      </w:r>
      <w:r w:rsidR="006A2926" w:rsidRPr="004A0C57">
        <w:rPr>
          <w:rFonts w:ascii="Verdana" w:hAnsi="Verdana"/>
          <w:sz w:val="20"/>
          <w:szCs w:val="20"/>
        </w:rPr>
        <w:t>Ministry of Justice: Patrick Power</w:t>
      </w:r>
    </w:p>
    <w:p w:rsidR="004A0C57" w:rsidRPr="004A0C57" w:rsidRDefault="004A0C57" w:rsidP="00E759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Ministry of Education: Clare Shepherd</w:t>
      </w:r>
    </w:p>
    <w:p w:rsidR="004A0C57" w:rsidRPr="004A0C57" w:rsidRDefault="004A0C57" w:rsidP="00E75929">
      <w:pPr>
        <w:rPr>
          <w:rFonts w:ascii="Verdana" w:hAnsi="Verdana"/>
          <w:sz w:val="20"/>
          <w:szCs w:val="20"/>
        </w:rPr>
      </w:pPr>
      <w:r w:rsidRPr="004A0C57">
        <w:rPr>
          <w:rFonts w:ascii="Verdana" w:hAnsi="Verdana"/>
          <w:sz w:val="20"/>
          <w:szCs w:val="20"/>
        </w:rPr>
        <w:tab/>
      </w:r>
      <w:r w:rsidRPr="004A0C57">
        <w:rPr>
          <w:rFonts w:ascii="Verdana" w:hAnsi="Verdana"/>
          <w:sz w:val="20"/>
          <w:szCs w:val="20"/>
        </w:rPr>
        <w:tab/>
        <w:t xml:space="preserve">  ACC: Julie Shipton-Pasgaard</w:t>
      </w:r>
    </w:p>
    <w:p w:rsidR="004A0C57" w:rsidRPr="004A0C57" w:rsidRDefault="004A0C57" w:rsidP="00E75929">
      <w:pPr>
        <w:rPr>
          <w:rFonts w:ascii="Verdana" w:hAnsi="Verdana"/>
          <w:sz w:val="20"/>
          <w:szCs w:val="20"/>
        </w:rPr>
      </w:pPr>
      <w:r w:rsidRPr="004A0C57">
        <w:rPr>
          <w:rFonts w:ascii="Verdana" w:hAnsi="Verdana"/>
          <w:sz w:val="20"/>
          <w:szCs w:val="20"/>
        </w:rPr>
        <w:tab/>
      </w:r>
      <w:r w:rsidRPr="004A0C57">
        <w:rPr>
          <w:rFonts w:ascii="Verdana" w:hAnsi="Verdana"/>
          <w:sz w:val="20"/>
          <w:szCs w:val="20"/>
        </w:rPr>
        <w:tab/>
        <w:t xml:space="preserve">  Ministry of Transport: Kevin Eames</w:t>
      </w:r>
    </w:p>
    <w:p w:rsidR="00E75929" w:rsidRPr="004A0C57" w:rsidRDefault="006A2926" w:rsidP="00E75929">
      <w:pPr>
        <w:rPr>
          <w:rFonts w:ascii="Verdana" w:hAnsi="Verdana"/>
          <w:sz w:val="20"/>
          <w:szCs w:val="20"/>
        </w:rPr>
      </w:pPr>
      <w:r w:rsidRPr="004A0C57">
        <w:rPr>
          <w:rFonts w:ascii="Verdana" w:hAnsi="Verdana"/>
          <w:sz w:val="20"/>
          <w:szCs w:val="20"/>
        </w:rPr>
        <w:tab/>
      </w:r>
      <w:r w:rsidRPr="004A0C57">
        <w:rPr>
          <w:rFonts w:ascii="Verdana" w:hAnsi="Verdana"/>
          <w:sz w:val="20"/>
          <w:szCs w:val="20"/>
        </w:rPr>
        <w:tab/>
        <w:t xml:space="preserve">  </w:t>
      </w:r>
      <w:r w:rsidR="00156C9A">
        <w:rPr>
          <w:rFonts w:ascii="Verdana" w:hAnsi="Verdana"/>
          <w:sz w:val="20"/>
          <w:szCs w:val="20"/>
        </w:rPr>
        <w:t>University of Otago</w:t>
      </w:r>
      <w:r w:rsidR="005D3C34">
        <w:rPr>
          <w:rFonts w:ascii="Verdana" w:hAnsi="Verdana"/>
          <w:sz w:val="20"/>
          <w:szCs w:val="20"/>
        </w:rPr>
        <w:t xml:space="preserve"> and Donald Beasley Institute:</w:t>
      </w:r>
      <w:r w:rsidR="00156C9A">
        <w:rPr>
          <w:rFonts w:ascii="Verdana" w:hAnsi="Verdana"/>
          <w:sz w:val="20"/>
          <w:szCs w:val="20"/>
        </w:rPr>
        <w:t xml:space="preserve"> </w:t>
      </w:r>
      <w:r w:rsidR="004311DB">
        <w:rPr>
          <w:rFonts w:ascii="Verdana" w:hAnsi="Verdana"/>
          <w:sz w:val="20"/>
          <w:szCs w:val="20"/>
        </w:rPr>
        <w:t xml:space="preserve">Dr </w:t>
      </w:r>
      <w:r w:rsidR="00E75929" w:rsidRPr="004A0C57">
        <w:rPr>
          <w:rFonts w:ascii="Verdana" w:hAnsi="Verdana"/>
          <w:sz w:val="20"/>
          <w:szCs w:val="20"/>
        </w:rPr>
        <w:t>Brigit Mirfin</w:t>
      </w:r>
      <w:r w:rsidR="00156C9A">
        <w:rPr>
          <w:rFonts w:ascii="Verdana" w:hAnsi="Verdana"/>
          <w:sz w:val="20"/>
          <w:szCs w:val="20"/>
        </w:rPr>
        <w:t xml:space="preserve">-Veitch  </w:t>
      </w:r>
    </w:p>
    <w:p w:rsidR="00E75929" w:rsidRDefault="00E75929" w:rsidP="00E75929">
      <w:pPr>
        <w:rPr>
          <w:rFonts w:ascii="Verdana" w:hAnsi="Verdana"/>
          <w:sz w:val="20"/>
          <w:szCs w:val="20"/>
        </w:rPr>
      </w:pPr>
      <w:r w:rsidRPr="004A0C57">
        <w:rPr>
          <w:rFonts w:ascii="Verdana" w:hAnsi="Verdana"/>
          <w:sz w:val="20"/>
          <w:szCs w:val="20"/>
        </w:rPr>
        <w:tab/>
      </w:r>
      <w:r w:rsidRPr="004A0C57">
        <w:rPr>
          <w:rFonts w:ascii="Verdana" w:hAnsi="Verdana"/>
          <w:sz w:val="20"/>
          <w:szCs w:val="20"/>
        </w:rPr>
        <w:tab/>
      </w:r>
      <w:r w:rsidR="006A2926" w:rsidRPr="004A0C57">
        <w:rPr>
          <w:rFonts w:ascii="Verdana" w:hAnsi="Verdana"/>
          <w:sz w:val="20"/>
          <w:szCs w:val="20"/>
        </w:rPr>
        <w:t xml:space="preserve"> </w:t>
      </w:r>
      <w:r w:rsidR="00156C9A">
        <w:rPr>
          <w:rFonts w:ascii="Verdana" w:hAnsi="Verdana"/>
          <w:sz w:val="20"/>
          <w:szCs w:val="20"/>
        </w:rPr>
        <w:t xml:space="preserve"> </w:t>
      </w:r>
    </w:p>
    <w:p w:rsidR="00DF53C6" w:rsidRDefault="00DF53C6" w:rsidP="00DF53C6">
      <w:pPr>
        <w:pStyle w:val="ListParagraph"/>
        <w:rPr>
          <w:b/>
          <w:sz w:val="24"/>
          <w:szCs w:val="24"/>
        </w:rPr>
      </w:pPr>
    </w:p>
    <w:p w:rsidR="00DF53C6" w:rsidRDefault="00DF53C6" w:rsidP="00DF53C6">
      <w:pPr>
        <w:pStyle w:val="ListParagraph"/>
        <w:rPr>
          <w:b/>
          <w:sz w:val="24"/>
          <w:szCs w:val="24"/>
        </w:rPr>
      </w:pPr>
    </w:p>
    <w:p w:rsidR="000D3A30" w:rsidRPr="00293830" w:rsidRDefault="000D3A30" w:rsidP="00DF53C6">
      <w:pPr>
        <w:pStyle w:val="ListParagraph"/>
        <w:rPr>
          <w:b/>
          <w:sz w:val="24"/>
          <w:szCs w:val="24"/>
          <w:u w:val="single"/>
        </w:rPr>
      </w:pPr>
    </w:p>
    <w:p w:rsidR="00DF53C6" w:rsidRDefault="00DF53C6" w:rsidP="00DF53C6">
      <w:pPr>
        <w:pStyle w:val="ListParagraph"/>
        <w:rPr>
          <w:b/>
          <w:sz w:val="24"/>
          <w:szCs w:val="24"/>
        </w:rPr>
      </w:pPr>
    </w:p>
    <w:p w:rsidR="00DF53C6" w:rsidRPr="00DF53C6" w:rsidRDefault="00DF53C6" w:rsidP="00DF53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F53C6">
        <w:rPr>
          <w:b/>
          <w:sz w:val="24"/>
          <w:szCs w:val="24"/>
        </w:rPr>
        <w:lastRenderedPageBreak/>
        <w:t>Introduction</w:t>
      </w:r>
    </w:p>
    <w:p w:rsidR="00DF53C6" w:rsidRDefault="00DF53C6" w:rsidP="00DF53C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 Coffey (Chair) welcomed all participants to the meeting of the Disability Data and Evidence Working Group.</w:t>
      </w:r>
    </w:p>
    <w:p w:rsidR="00DF53C6" w:rsidRDefault="00DF53C6" w:rsidP="00DF53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Current situation: New Zealand Disability Strategy and disability data</w:t>
      </w:r>
    </w:p>
    <w:p w:rsidR="00DF53C6" w:rsidRDefault="006F49D0" w:rsidP="00DF53C6">
      <w:pPr>
        <w:pStyle w:val="ListParagraph"/>
        <w:rPr>
          <w:szCs w:val="20"/>
        </w:rPr>
      </w:pPr>
      <w:r>
        <w:rPr>
          <w:szCs w:val="20"/>
        </w:rPr>
        <w:t xml:space="preserve">Paper 1, </w:t>
      </w:r>
      <w:r>
        <w:rPr>
          <w:i/>
          <w:szCs w:val="20"/>
        </w:rPr>
        <w:t xml:space="preserve">New Zealand Disability Strategy Outcomes Framework: Development of proposed indicators for the eight outcome domains, </w:t>
      </w:r>
      <w:r w:rsidR="00B02355">
        <w:rPr>
          <w:szCs w:val="20"/>
        </w:rPr>
        <w:t xml:space="preserve">and Paper 2, </w:t>
      </w:r>
      <w:r w:rsidR="00B02355">
        <w:rPr>
          <w:i/>
          <w:szCs w:val="20"/>
        </w:rPr>
        <w:t xml:space="preserve">A3: Initial stocktake of disability data sources, </w:t>
      </w:r>
      <w:r w:rsidR="00B02355">
        <w:rPr>
          <w:szCs w:val="20"/>
        </w:rPr>
        <w:t>informed the discussion. The following were the key discussion points:</w:t>
      </w:r>
    </w:p>
    <w:p w:rsidR="00A43F77" w:rsidRDefault="00B02355" w:rsidP="00B02355">
      <w:pPr>
        <w:pStyle w:val="ListParagraph"/>
        <w:numPr>
          <w:ilvl w:val="0"/>
          <w:numId w:val="2"/>
        </w:numPr>
        <w:rPr>
          <w:szCs w:val="20"/>
        </w:rPr>
      </w:pPr>
      <w:r w:rsidRPr="00A43F77">
        <w:rPr>
          <w:szCs w:val="20"/>
        </w:rPr>
        <w:t>Disability data needs will now be framed by</w:t>
      </w:r>
      <w:r w:rsidR="00062F99" w:rsidRPr="00A43F77">
        <w:rPr>
          <w:szCs w:val="20"/>
        </w:rPr>
        <w:t xml:space="preserve"> the development of indicators for</w:t>
      </w:r>
      <w:r w:rsidRPr="00A43F77">
        <w:rPr>
          <w:szCs w:val="20"/>
        </w:rPr>
        <w:t xml:space="preserve"> the eight outcome domains in the New Zealan</w:t>
      </w:r>
      <w:r w:rsidR="00141E90" w:rsidRPr="00A43F77">
        <w:rPr>
          <w:szCs w:val="20"/>
        </w:rPr>
        <w:t>d Disability Strategy 2016-2026 (the Strategy).</w:t>
      </w:r>
      <w:r w:rsidR="00A43F77" w:rsidRPr="00A43F77">
        <w:rPr>
          <w:szCs w:val="20"/>
        </w:rPr>
        <w:t xml:space="preserve"> </w:t>
      </w:r>
      <w:r w:rsidR="00A43F77">
        <w:rPr>
          <w:szCs w:val="20"/>
        </w:rPr>
        <w:t>However, i</w:t>
      </w:r>
      <w:r w:rsidRPr="00A43F77">
        <w:rPr>
          <w:szCs w:val="20"/>
        </w:rPr>
        <w:t>t was agreed that</w:t>
      </w:r>
      <w:r w:rsidR="00062F99" w:rsidRPr="00A43F77">
        <w:rPr>
          <w:szCs w:val="20"/>
        </w:rPr>
        <w:t xml:space="preserve"> this</w:t>
      </w:r>
      <w:r w:rsidRPr="00A43F77">
        <w:rPr>
          <w:szCs w:val="20"/>
        </w:rPr>
        <w:t xml:space="preserve"> will not totally define the work of the Disability Data and Evidence Working Group (DDEWG) going forward.</w:t>
      </w:r>
      <w:r w:rsidR="00A43F77" w:rsidRPr="00A43F77">
        <w:rPr>
          <w:szCs w:val="20"/>
        </w:rPr>
        <w:t xml:space="preserve"> </w:t>
      </w:r>
    </w:p>
    <w:p w:rsidR="00A43F77" w:rsidRPr="00A43F77" w:rsidRDefault="00A75BB4" w:rsidP="00B0235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The work undertaken by the DDEWG in 2016 on the development of Enduring Questions (designed to identify long-term data needs relating to disabled people in New Zealand), will remain relevant</w:t>
      </w:r>
      <w:r w:rsidR="00DA7FA2">
        <w:rPr>
          <w:szCs w:val="20"/>
        </w:rPr>
        <w:t xml:space="preserve"> in identifying and prioritising initiatives to address gaps or deficiencies in meeting disability data needs.</w:t>
      </w:r>
      <w:r>
        <w:rPr>
          <w:szCs w:val="20"/>
        </w:rPr>
        <w:t xml:space="preserve"> </w:t>
      </w:r>
    </w:p>
    <w:p w:rsidR="00F357EE" w:rsidRDefault="00C941F2" w:rsidP="00B0235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T</w:t>
      </w:r>
      <w:r w:rsidR="00F357EE">
        <w:rPr>
          <w:szCs w:val="20"/>
        </w:rPr>
        <w:t>he draft indicators presented in Paper 1 do not encompass everything valuable in disabled people’s lives. Rather, these indicators represent a sub-set of what might be chosen as important by disabled people.</w:t>
      </w:r>
    </w:p>
    <w:p w:rsidR="005046E5" w:rsidRDefault="005046E5" w:rsidP="00B0235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It was emphasised that the ultimate goal of collecting data on disabled people was to use the data to bring about equity between disabled and non-disabled people on all outcomes. </w:t>
      </w:r>
    </w:p>
    <w:p w:rsidR="004E4E10" w:rsidRDefault="00141E90" w:rsidP="00B0235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It is</w:t>
      </w:r>
      <w:r w:rsidR="00C8346E">
        <w:rPr>
          <w:szCs w:val="20"/>
        </w:rPr>
        <w:t xml:space="preserve"> necessary to </w:t>
      </w:r>
      <w:r w:rsidR="00EF35FA">
        <w:rPr>
          <w:szCs w:val="20"/>
        </w:rPr>
        <w:t>establish consistency across the indicators (for example, wording</w:t>
      </w:r>
      <w:r>
        <w:rPr>
          <w:szCs w:val="20"/>
        </w:rPr>
        <w:t>, refining concepts</w:t>
      </w:r>
      <w:r w:rsidR="00EF35FA">
        <w:rPr>
          <w:szCs w:val="20"/>
        </w:rPr>
        <w:t>)</w:t>
      </w:r>
      <w:r w:rsidR="00841818">
        <w:rPr>
          <w:szCs w:val="20"/>
        </w:rPr>
        <w:t>.</w:t>
      </w:r>
    </w:p>
    <w:p w:rsidR="00EF35FA" w:rsidRDefault="00EF35FA" w:rsidP="00B0235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It was emphasised that decisions about indicators to include</w:t>
      </w:r>
      <w:r w:rsidR="00141E90">
        <w:rPr>
          <w:szCs w:val="20"/>
        </w:rPr>
        <w:t xml:space="preserve"> in the </w:t>
      </w:r>
      <w:r>
        <w:rPr>
          <w:szCs w:val="20"/>
        </w:rPr>
        <w:t xml:space="preserve"> Strategy Outcomes Framework cannot be made on the basis</w:t>
      </w:r>
      <w:r w:rsidR="00F20E4B">
        <w:rPr>
          <w:szCs w:val="20"/>
        </w:rPr>
        <w:t xml:space="preserve"> of</w:t>
      </w:r>
      <w:r w:rsidR="00034335">
        <w:rPr>
          <w:szCs w:val="20"/>
        </w:rPr>
        <w:t xml:space="preserve"> available data alone. Resourcing f</w:t>
      </w:r>
      <w:r w:rsidR="00841818">
        <w:rPr>
          <w:szCs w:val="20"/>
        </w:rPr>
        <w:t>or the collection of data required</w:t>
      </w:r>
      <w:r w:rsidR="00034335">
        <w:rPr>
          <w:szCs w:val="20"/>
        </w:rPr>
        <w:t xml:space="preserve"> to measure certain indicators may have to be broached.</w:t>
      </w:r>
      <w:r>
        <w:rPr>
          <w:szCs w:val="20"/>
        </w:rPr>
        <w:t xml:space="preserve"> </w:t>
      </w:r>
    </w:p>
    <w:p w:rsidR="00C8346E" w:rsidRDefault="00C8346E" w:rsidP="00B02355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It was noted that a data dictionary will be developed against which the indicators will be measured. The dictionary will include:</w:t>
      </w:r>
    </w:p>
    <w:p w:rsidR="00C8346E" w:rsidRDefault="00C8346E" w:rsidP="00C8346E">
      <w:pPr>
        <w:pStyle w:val="ListParagraph"/>
        <w:numPr>
          <w:ilvl w:val="1"/>
          <w:numId w:val="2"/>
        </w:numPr>
        <w:rPr>
          <w:szCs w:val="20"/>
        </w:rPr>
      </w:pPr>
      <w:r>
        <w:rPr>
          <w:szCs w:val="20"/>
        </w:rPr>
        <w:t>a narrative of intent</w:t>
      </w:r>
    </w:p>
    <w:p w:rsidR="00C8346E" w:rsidRDefault="00C8346E" w:rsidP="00C8346E">
      <w:pPr>
        <w:pStyle w:val="ListParagraph"/>
        <w:numPr>
          <w:ilvl w:val="1"/>
          <w:numId w:val="2"/>
        </w:numPr>
        <w:rPr>
          <w:szCs w:val="20"/>
        </w:rPr>
      </w:pPr>
      <w:r>
        <w:rPr>
          <w:szCs w:val="20"/>
        </w:rPr>
        <w:t>who is responsible for collecting data</w:t>
      </w:r>
    </w:p>
    <w:p w:rsidR="00C8346E" w:rsidRDefault="00C8346E" w:rsidP="00C8346E">
      <w:pPr>
        <w:pStyle w:val="ListParagraph"/>
        <w:numPr>
          <w:ilvl w:val="1"/>
          <w:numId w:val="2"/>
        </w:numPr>
        <w:rPr>
          <w:szCs w:val="20"/>
        </w:rPr>
      </w:pPr>
      <w:r>
        <w:rPr>
          <w:szCs w:val="20"/>
        </w:rPr>
        <w:t>the data source</w:t>
      </w:r>
    </w:p>
    <w:p w:rsidR="00C8346E" w:rsidRDefault="00C8346E" w:rsidP="00C8346E">
      <w:pPr>
        <w:pStyle w:val="ListParagraph"/>
        <w:numPr>
          <w:ilvl w:val="1"/>
          <w:numId w:val="2"/>
        </w:numPr>
        <w:rPr>
          <w:szCs w:val="20"/>
        </w:rPr>
      </w:pPr>
      <w:r>
        <w:rPr>
          <w:szCs w:val="20"/>
        </w:rPr>
        <w:t>frequency of reporting.</w:t>
      </w:r>
    </w:p>
    <w:p w:rsidR="00EF35FA" w:rsidRDefault="00141E90" w:rsidP="00EF35FA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A mixed methodology will be utilised to assess progress in the implementation of the Strategy. In other words, both quantitative and qualitative data will be utilised.</w:t>
      </w:r>
      <w:r w:rsidR="00B93DD6">
        <w:rPr>
          <w:szCs w:val="20"/>
        </w:rPr>
        <w:t xml:space="preserve"> Possible sources of qualitative data could include reports prepared by</w:t>
      </w:r>
      <w:r w:rsidR="00841818">
        <w:rPr>
          <w:szCs w:val="20"/>
        </w:rPr>
        <w:t>:</w:t>
      </w:r>
      <w:r w:rsidR="00B93DD6">
        <w:rPr>
          <w:szCs w:val="20"/>
        </w:rPr>
        <w:t xml:space="preserve"> the Human Rights Commission, the Office of the Ombudsman and disabled people-led monitoring.</w:t>
      </w:r>
      <w:r>
        <w:rPr>
          <w:szCs w:val="20"/>
        </w:rPr>
        <w:t xml:space="preserve"> </w:t>
      </w:r>
    </w:p>
    <w:p w:rsidR="00EA4F78" w:rsidRDefault="00841818" w:rsidP="00EF35FA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There was agreement that</w:t>
      </w:r>
      <w:r w:rsidR="00CB5685">
        <w:rPr>
          <w:szCs w:val="20"/>
        </w:rPr>
        <w:t xml:space="preserve"> coordination across government was important in the collection of disability data. Such coordination is dependent upon building up </w:t>
      </w:r>
      <w:r>
        <w:rPr>
          <w:szCs w:val="20"/>
        </w:rPr>
        <w:t xml:space="preserve">a shared understanding of “disability” across government agencies (for example, in administrative datasets </w:t>
      </w:r>
      <w:r>
        <w:rPr>
          <w:szCs w:val="20"/>
        </w:rPr>
        <w:lastRenderedPageBreak/>
        <w:t>and surveys)</w:t>
      </w:r>
      <w:r w:rsidR="00CF7C96">
        <w:rPr>
          <w:szCs w:val="20"/>
        </w:rPr>
        <w:t>.</w:t>
      </w:r>
      <w:r w:rsidR="00EE1043">
        <w:rPr>
          <w:szCs w:val="20"/>
        </w:rPr>
        <w:t xml:space="preserve"> In this regard, it was suggested that the use of the Washington Group Short Set of questions on disability</w:t>
      </w:r>
      <w:r w:rsidR="009B7F05">
        <w:rPr>
          <w:szCs w:val="20"/>
        </w:rPr>
        <w:t xml:space="preserve"> (WG-SS)</w:t>
      </w:r>
      <w:r w:rsidR="00EE1043">
        <w:rPr>
          <w:szCs w:val="20"/>
        </w:rPr>
        <w:t xml:space="preserve"> in surveys carried out by government agencies could ensure survey comparability.</w:t>
      </w:r>
      <w:r w:rsidR="009B7F05">
        <w:rPr>
          <w:szCs w:val="20"/>
        </w:rPr>
        <w:t xml:space="preserve"> The WG-SS has been included in the piloting of the Crime and Victims Survey and will also be included in the New Zealand Health Survey 2018-2019.</w:t>
      </w:r>
    </w:p>
    <w:p w:rsidR="00841818" w:rsidRDefault="00EA4F78" w:rsidP="00EF35FA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The role of the Integrated Data Infrastructure (IDI), managed by Stats NZ, in providing comparable disability data was discussed. It was observed that the IDI which is comprised of a series of integrated datasets from different government could be used more. </w:t>
      </w:r>
      <w:r w:rsidR="00937D32">
        <w:rPr>
          <w:szCs w:val="20"/>
        </w:rPr>
        <w:t>For example</w:t>
      </w:r>
      <w:r w:rsidR="00D84F5A">
        <w:rPr>
          <w:szCs w:val="20"/>
        </w:rPr>
        <w:t xml:space="preserve">, </w:t>
      </w:r>
      <w:r>
        <w:rPr>
          <w:szCs w:val="20"/>
        </w:rPr>
        <w:t>Census 2018</w:t>
      </w:r>
      <w:r w:rsidR="00D84F5A">
        <w:rPr>
          <w:szCs w:val="20"/>
        </w:rPr>
        <w:t xml:space="preserve"> (which will include the WG-SS measuring module) will be put into the IDI.</w:t>
      </w:r>
    </w:p>
    <w:p w:rsidR="00CB37A7" w:rsidRDefault="00CB37A7" w:rsidP="00CB37A7">
      <w:pPr>
        <w:pStyle w:val="ListParagraph"/>
        <w:ind w:left="1800"/>
        <w:rPr>
          <w:szCs w:val="20"/>
        </w:rPr>
      </w:pPr>
    </w:p>
    <w:p w:rsidR="00937D32" w:rsidRDefault="00CB37A7" w:rsidP="00CB37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Role of Disability Data and Evidence Working Group</w:t>
      </w:r>
    </w:p>
    <w:p w:rsidR="00D664CF" w:rsidRDefault="00D664CF" w:rsidP="00D664CF">
      <w:pPr>
        <w:pStyle w:val="ListParagraph"/>
        <w:rPr>
          <w:szCs w:val="20"/>
        </w:rPr>
      </w:pPr>
      <w:r>
        <w:rPr>
          <w:szCs w:val="20"/>
        </w:rPr>
        <w:t>Regarding the role of the DDEWG going forward, the following were the key discussion points:</w:t>
      </w:r>
    </w:p>
    <w:p w:rsidR="00D664CF" w:rsidRDefault="00D664CF" w:rsidP="00D664CF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The DDEWG could</w:t>
      </w:r>
      <w:r w:rsidR="007417EB">
        <w:rPr>
          <w:szCs w:val="20"/>
        </w:rPr>
        <w:t>, possibly,</w:t>
      </w:r>
      <w:r>
        <w:rPr>
          <w:szCs w:val="20"/>
        </w:rPr>
        <w:t xml:space="preserve"> coordinate the collection of disability data across government agencies.</w:t>
      </w:r>
    </w:p>
    <w:p w:rsidR="00DF2101" w:rsidRPr="00DF2101" w:rsidRDefault="00D664CF" w:rsidP="00D664C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F2101">
        <w:rPr>
          <w:szCs w:val="20"/>
        </w:rPr>
        <w:t>The DDEWG could play a valuable educational role in the</w:t>
      </w:r>
      <w:r w:rsidR="007417EB">
        <w:rPr>
          <w:szCs w:val="20"/>
        </w:rPr>
        <w:t xml:space="preserve"> promotion of</w:t>
      </w:r>
      <w:r w:rsidR="00DF2101">
        <w:rPr>
          <w:szCs w:val="20"/>
        </w:rPr>
        <w:t>:</w:t>
      </w:r>
    </w:p>
    <w:p w:rsidR="00DF2101" w:rsidRPr="00DF2101" w:rsidRDefault="00DF2101" w:rsidP="00DF2101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>
        <w:rPr>
          <w:szCs w:val="20"/>
        </w:rPr>
        <w:t>International Classification of Functioning, Disability and Health (the conceptual framework underpinning the disability measuring instruments developed by the Washington Group on Disability Statistics), and</w:t>
      </w:r>
    </w:p>
    <w:p w:rsidR="00D664CF" w:rsidRPr="007417EB" w:rsidRDefault="00DF2101" w:rsidP="00DF2101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>
        <w:rPr>
          <w:szCs w:val="20"/>
        </w:rPr>
        <w:t xml:space="preserve">Washington Group’s </w:t>
      </w:r>
      <w:r w:rsidR="00D664CF" w:rsidRPr="00DF2101">
        <w:rPr>
          <w:szCs w:val="20"/>
        </w:rPr>
        <w:t xml:space="preserve">disability measuring instruments </w:t>
      </w:r>
      <w:r>
        <w:rPr>
          <w:szCs w:val="20"/>
        </w:rPr>
        <w:t>(for example, WG-SS)</w:t>
      </w:r>
      <w:r w:rsidR="007417EB">
        <w:rPr>
          <w:szCs w:val="20"/>
        </w:rPr>
        <w:t>.</w:t>
      </w:r>
    </w:p>
    <w:p w:rsidR="007417EB" w:rsidRPr="00293830" w:rsidRDefault="0044652F" w:rsidP="007417E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Cs w:val="20"/>
        </w:rPr>
        <w:t xml:space="preserve">The DDEWG may have a role to play </w:t>
      </w:r>
      <w:r w:rsidR="00AB6480">
        <w:rPr>
          <w:szCs w:val="20"/>
        </w:rPr>
        <w:t>in building up a data map relating to data needs for the Strategy, the Disability Action Plan and the Sustainable Development Goals.</w:t>
      </w:r>
    </w:p>
    <w:p w:rsidR="00293830" w:rsidRPr="00505777" w:rsidRDefault="00293830" w:rsidP="00293830">
      <w:pPr>
        <w:pStyle w:val="ListParagraph"/>
        <w:ind w:left="1440"/>
        <w:rPr>
          <w:b/>
          <w:sz w:val="24"/>
          <w:szCs w:val="24"/>
        </w:rPr>
      </w:pPr>
    </w:p>
    <w:p w:rsidR="00505777" w:rsidRDefault="00505777" w:rsidP="0050577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Paula Tesoriero – New Disability Rights Commissioner’s emerging priorities</w:t>
      </w:r>
    </w:p>
    <w:p w:rsidR="001A3A71" w:rsidRDefault="001A3A71" w:rsidP="00046787">
      <w:pPr>
        <w:ind w:left="720"/>
        <w:rPr>
          <w:rFonts w:ascii="Verdana" w:hAnsi="Verdana"/>
          <w:sz w:val="20"/>
          <w:szCs w:val="20"/>
        </w:rPr>
      </w:pPr>
      <w:r w:rsidRPr="001A3A71">
        <w:rPr>
          <w:rFonts w:ascii="Verdana" w:hAnsi="Verdana"/>
          <w:sz w:val="20"/>
          <w:szCs w:val="20"/>
        </w:rPr>
        <w:t>Paula Tesoriero is the first dedicated Disability Rights Commissioner appointed under the recently amended Human Rights Act 1993. Paula presented an over</w:t>
      </w:r>
      <w:r w:rsidR="00775231">
        <w:rPr>
          <w:rFonts w:ascii="Verdana" w:hAnsi="Verdana"/>
          <w:sz w:val="20"/>
          <w:szCs w:val="20"/>
        </w:rPr>
        <w:t>view of her emerging priorities.</w:t>
      </w:r>
    </w:p>
    <w:p w:rsidR="001A3A71" w:rsidRDefault="00775231" w:rsidP="000467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Paula commented on the fact that disabled people are considerably behind other</w:t>
      </w:r>
      <w:r w:rsidR="00A66118">
        <w:rPr>
          <w:rFonts w:ascii="Verdana" w:hAnsi="Verdana"/>
          <w:sz w:val="20"/>
          <w:szCs w:val="20"/>
        </w:rPr>
        <w:t xml:space="preserve"> population groups. </w:t>
      </w:r>
      <w:r>
        <w:rPr>
          <w:rFonts w:ascii="Verdana" w:hAnsi="Verdana"/>
          <w:sz w:val="20"/>
          <w:szCs w:val="20"/>
        </w:rPr>
        <w:t>She outlined her five top priorities for action:</w:t>
      </w:r>
    </w:p>
    <w:p w:rsidR="001A3A71" w:rsidRPr="001A3A71" w:rsidRDefault="001A3A71" w:rsidP="00A66118">
      <w:pPr>
        <w:pStyle w:val="ListParagraph"/>
        <w:numPr>
          <w:ilvl w:val="0"/>
          <w:numId w:val="9"/>
        </w:numPr>
        <w:rPr>
          <w:szCs w:val="20"/>
        </w:rPr>
      </w:pPr>
      <w:r w:rsidRPr="001A3A71">
        <w:rPr>
          <w:szCs w:val="20"/>
        </w:rPr>
        <w:t>promoting education</w:t>
      </w:r>
      <w:r w:rsidR="00F20E4B">
        <w:rPr>
          <w:szCs w:val="20"/>
        </w:rPr>
        <w:t xml:space="preserve"> outcomes</w:t>
      </w:r>
      <w:r w:rsidRPr="001A3A71">
        <w:rPr>
          <w:szCs w:val="20"/>
        </w:rPr>
        <w:t xml:space="preserve"> of disabled people</w:t>
      </w:r>
    </w:p>
    <w:p w:rsidR="001A3A71" w:rsidRPr="001A3A71" w:rsidRDefault="001A3A71" w:rsidP="00A66118">
      <w:pPr>
        <w:pStyle w:val="ListParagraph"/>
        <w:numPr>
          <w:ilvl w:val="0"/>
          <w:numId w:val="9"/>
        </w:numPr>
        <w:rPr>
          <w:szCs w:val="20"/>
        </w:rPr>
      </w:pPr>
      <w:r w:rsidRPr="001A3A71">
        <w:rPr>
          <w:szCs w:val="20"/>
        </w:rPr>
        <w:t>increasing employment of disabled people, given that 42 percent of young disabled people, for example, are not in employment, education or training</w:t>
      </w:r>
    </w:p>
    <w:p w:rsidR="001A3A71" w:rsidRPr="001A3A71" w:rsidRDefault="001A3A71" w:rsidP="00A66118">
      <w:pPr>
        <w:pStyle w:val="ListParagraph"/>
        <w:numPr>
          <w:ilvl w:val="0"/>
          <w:numId w:val="9"/>
        </w:numPr>
        <w:rPr>
          <w:szCs w:val="20"/>
        </w:rPr>
      </w:pPr>
      <w:r w:rsidRPr="001A3A71">
        <w:rPr>
          <w:szCs w:val="20"/>
        </w:rPr>
        <w:t>shifting hearts and minds of New Zealanders, given that attitudes toward disabled people extend from indifference to discrimination</w:t>
      </w:r>
    </w:p>
    <w:p w:rsidR="001A3A71" w:rsidRPr="00A66118" w:rsidRDefault="001A3A71" w:rsidP="00A66118">
      <w:pPr>
        <w:pStyle w:val="ListParagraph"/>
        <w:numPr>
          <w:ilvl w:val="0"/>
          <w:numId w:val="9"/>
        </w:numPr>
        <w:rPr>
          <w:szCs w:val="20"/>
        </w:rPr>
      </w:pPr>
      <w:r w:rsidRPr="00A66118">
        <w:rPr>
          <w:szCs w:val="20"/>
        </w:rPr>
        <w:t>building up data to provide a better picture of disability in New Zealand, given that disabled people who are not counted do not matter</w:t>
      </w:r>
    </w:p>
    <w:p w:rsidR="001A3A71" w:rsidRPr="00A66118" w:rsidRDefault="001A3A71" w:rsidP="00A66118">
      <w:pPr>
        <w:pStyle w:val="ListParagraph"/>
        <w:numPr>
          <w:ilvl w:val="0"/>
          <w:numId w:val="9"/>
        </w:numPr>
        <w:rPr>
          <w:szCs w:val="20"/>
        </w:rPr>
      </w:pPr>
      <w:r w:rsidRPr="00A66118">
        <w:rPr>
          <w:szCs w:val="20"/>
        </w:rPr>
        <w:t>supporting a stronger disability sector.</w:t>
      </w:r>
    </w:p>
    <w:p w:rsidR="001A3A71" w:rsidRPr="00A66118" w:rsidRDefault="001A3A71" w:rsidP="001A3A71">
      <w:pPr>
        <w:rPr>
          <w:rFonts w:ascii="Verdana" w:hAnsi="Verdana"/>
          <w:sz w:val="20"/>
          <w:szCs w:val="20"/>
        </w:rPr>
      </w:pPr>
      <w:r w:rsidRPr="00A66118">
        <w:rPr>
          <w:rFonts w:ascii="Verdana" w:hAnsi="Verdana"/>
          <w:sz w:val="20"/>
          <w:szCs w:val="20"/>
        </w:rPr>
        <w:lastRenderedPageBreak/>
        <w:t>Paula listed a second list of priorities</w:t>
      </w:r>
      <w:r w:rsidR="00E22FE8">
        <w:rPr>
          <w:rFonts w:ascii="Verdana" w:hAnsi="Verdana"/>
          <w:sz w:val="20"/>
          <w:szCs w:val="20"/>
        </w:rPr>
        <w:t>, including but not limited to the following,</w:t>
      </w:r>
      <w:r w:rsidRPr="00A66118">
        <w:rPr>
          <w:rFonts w:ascii="Verdana" w:hAnsi="Verdana"/>
          <w:sz w:val="20"/>
          <w:szCs w:val="20"/>
        </w:rPr>
        <w:t xml:space="preserve"> that she will take every opportunity to speak out on: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housing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accessibility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violence and abuse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mental health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seclusion and restraint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bioethical issues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state abuse</w:t>
      </w:r>
    </w:p>
    <w:p w:rsidR="001A3A71" w:rsidRPr="00D75170" w:rsidRDefault="001A3A71" w:rsidP="00D75170">
      <w:pPr>
        <w:pStyle w:val="ListParagraph"/>
        <w:numPr>
          <w:ilvl w:val="0"/>
          <w:numId w:val="9"/>
        </w:numPr>
        <w:rPr>
          <w:szCs w:val="20"/>
        </w:rPr>
      </w:pPr>
      <w:r w:rsidRPr="00D75170">
        <w:rPr>
          <w:szCs w:val="20"/>
        </w:rPr>
        <w:t>neuro-disability.</w:t>
      </w:r>
    </w:p>
    <w:p w:rsidR="001A3A71" w:rsidRDefault="001A3A71" w:rsidP="001A3A71">
      <w:pPr>
        <w:rPr>
          <w:rFonts w:ascii="Verdana" w:hAnsi="Verdana"/>
          <w:sz w:val="20"/>
          <w:szCs w:val="20"/>
        </w:rPr>
      </w:pPr>
      <w:r w:rsidRPr="00D75170">
        <w:rPr>
          <w:rFonts w:ascii="Verdana" w:hAnsi="Verdana"/>
          <w:sz w:val="20"/>
          <w:szCs w:val="20"/>
        </w:rPr>
        <w:t>In respect of her working style, Paula commented that her key objective is to</w:t>
      </w:r>
      <w:r w:rsidR="00D75170">
        <w:rPr>
          <w:rFonts w:ascii="Verdana" w:hAnsi="Verdana"/>
          <w:sz w:val="20"/>
          <w:szCs w:val="20"/>
        </w:rPr>
        <w:t xml:space="preserve"> work in collaboration and partnership with the disability sector, decision-makers, business, Non-Government Organisations and community groups.</w:t>
      </w:r>
    </w:p>
    <w:p w:rsidR="00AA55D4" w:rsidRDefault="00AA55D4" w:rsidP="00AA55D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</w:p>
    <w:p w:rsidR="00AA55D4" w:rsidRPr="00CD1DD5" w:rsidRDefault="00CD1DD5" w:rsidP="00CD1DD5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The Office for Disability Issues, Stats NZ and the H</w:t>
      </w:r>
      <w:r w:rsidR="006A7682">
        <w:rPr>
          <w:szCs w:val="20"/>
        </w:rPr>
        <w:t xml:space="preserve">uman Rights Commission </w:t>
      </w:r>
      <w:r>
        <w:rPr>
          <w:szCs w:val="20"/>
        </w:rPr>
        <w:t>will meet to develop a draft work programme for the DDEWG going forward.</w:t>
      </w:r>
    </w:p>
    <w:p w:rsidR="00046787" w:rsidRPr="00D75170" w:rsidRDefault="00CD1DD5" w:rsidP="00CD1DD5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A Ministry of Health (Client Insights and Analytics)</w:t>
      </w:r>
      <w:r w:rsidR="00680E86">
        <w:rPr>
          <w:szCs w:val="20"/>
        </w:rPr>
        <w:t xml:space="preserve"> official</w:t>
      </w:r>
      <w:r w:rsidR="006A7682">
        <w:rPr>
          <w:szCs w:val="20"/>
        </w:rPr>
        <w:t xml:space="preserve"> will raise the </w:t>
      </w:r>
      <w:r>
        <w:rPr>
          <w:szCs w:val="20"/>
        </w:rPr>
        <w:t xml:space="preserve"> </w:t>
      </w:r>
      <w:r w:rsidRPr="00414746">
        <w:rPr>
          <w:szCs w:val="20"/>
        </w:rPr>
        <w:t xml:space="preserve">possibility </w:t>
      </w:r>
      <w:r>
        <w:rPr>
          <w:szCs w:val="20"/>
        </w:rPr>
        <w:t>of using the WG-SS</w:t>
      </w:r>
      <w:r w:rsidR="006A7682">
        <w:rPr>
          <w:szCs w:val="20"/>
        </w:rPr>
        <w:t xml:space="preserve"> in government agencies’ surveys</w:t>
      </w:r>
      <w:r>
        <w:rPr>
          <w:szCs w:val="20"/>
        </w:rPr>
        <w:t xml:space="preserve"> at the next Questionnaire Design forum.</w:t>
      </w:r>
    </w:p>
    <w:p w:rsidR="00DF53C6" w:rsidRPr="00DF53C6" w:rsidRDefault="00DF53C6" w:rsidP="00CB37A7">
      <w:pPr>
        <w:ind w:left="360"/>
        <w:rPr>
          <w:b/>
          <w:sz w:val="24"/>
          <w:szCs w:val="24"/>
        </w:rPr>
      </w:pPr>
    </w:p>
    <w:p w:rsidR="00DF53C6" w:rsidRPr="00DF53C6" w:rsidRDefault="00DF53C6" w:rsidP="00DF53C6">
      <w:pPr>
        <w:pStyle w:val="ListParagraph"/>
        <w:rPr>
          <w:b/>
          <w:sz w:val="24"/>
          <w:szCs w:val="24"/>
        </w:rPr>
      </w:pPr>
    </w:p>
    <w:p w:rsidR="00E75929" w:rsidRPr="004A0C57" w:rsidRDefault="004A0C57" w:rsidP="00E75929">
      <w:pPr>
        <w:rPr>
          <w:rFonts w:ascii="Verdana" w:hAnsi="Verdana"/>
          <w:b/>
          <w:sz w:val="20"/>
          <w:szCs w:val="20"/>
        </w:rPr>
      </w:pPr>
      <w:r w:rsidRPr="004A0C57">
        <w:rPr>
          <w:rFonts w:ascii="Verdana" w:hAnsi="Verdana"/>
          <w:sz w:val="20"/>
          <w:szCs w:val="20"/>
        </w:rPr>
        <w:tab/>
      </w:r>
      <w:r w:rsidRPr="004A0C57">
        <w:rPr>
          <w:rFonts w:ascii="Verdana" w:hAnsi="Verdana"/>
          <w:sz w:val="20"/>
          <w:szCs w:val="20"/>
        </w:rPr>
        <w:tab/>
        <w:t xml:space="preserve"> </w:t>
      </w:r>
      <w:r w:rsidR="00E75929" w:rsidRPr="004A0C57">
        <w:rPr>
          <w:rFonts w:ascii="Verdana" w:hAnsi="Verdana"/>
          <w:sz w:val="20"/>
          <w:szCs w:val="20"/>
        </w:rPr>
        <w:tab/>
      </w:r>
      <w:r w:rsidR="00E75929" w:rsidRPr="004A0C57">
        <w:rPr>
          <w:rFonts w:ascii="Verdana" w:hAnsi="Verdana"/>
          <w:sz w:val="20"/>
          <w:szCs w:val="20"/>
        </w:rPr>
        <w:tab/>
      </w:r>
    </w:p>
    <w:sectPr w:rsidR="00E75929" w:rsidRPr="004A0C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F5" w:rsidRDefault="00CD78F5" w:rsidP="00F60E9F">
      <w:pPr>
        <w:spacing w:after="0" w:line="240" w:lineRule="auto"/>
      </w:pPr>
      <w:r>
        <w:separator/>
      </w:r>
    </w:p>
  </w:endnote>
  <w:endnote w:type="continuationSeparator" w:id="0">
    <w:p w:rsidR="00CD78F5" w:rsidRDefault="00CD78F5" w:rsidP="00F6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9F" w:rsidRDefault="00F60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32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E9F" w:rsidRDefault="00F60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E9F" w:rsidRDefault="00F60E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9F" w:rsidRDefault="00F60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F5" w:rsidRDefault="00CD78F5" w:rsidP="00F60E9F">
      <w:pPr>
        <w:spacing w:after="0" w:line="240" w:lineRule="auto"/>
      </w:pPr>
      <w:r>
        <w:separator/>
      </w:r>
    </w:p>
  </w:footnote>
  <w:footnote w:type="continuationSeparator" w:id="0">
    <w:p w:rsidR="00CD78F5" w:rsidRDefault="00CD78F5" w:rsidP="00F6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9F" w:rsidRDefault="00F60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9F" w:rsidRDefault="00F60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9F" w:rsidRDefault="00F60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993"/>
    <w:multiLevelType w:val="hybridMultilevel"/>
    <w:tmpl w:val="0728D99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778B3"/>
    <w:multiLevelType w:val="hybridMultilevel"/>
    <w:tmpl w:val="7DC2F19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5F2156"/>
    <w:multiLevelType w:val="hybridMultilevel"/>
    <w:tmpl w:val="103C3F88"/>
    <w:lvl w:ilvl="0" w:tplc="1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25B414C0"/>
    <w:multiLevelType w:val="hybridMultilevel"/>
    <w:tmpl w:val="9EC67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13182"/>
    <w:multiLevelType w:val="hybridMultilevel"/>
    <w:tmpl w:val="2A566A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C43E87"/>
    <w:multiLevelType w:val="hybridMultilevel"/>
    <w:tmpl w:val="0754A3D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995007"/>
    <w:multiLevelType w:val="hybridMultilevel"/>
    <w:tmpl w:val="0ED689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C3C9E"/>
    <w:multiLevelType w:val="hybridMultilevel"/>
    <w:tmpl w:val="83783A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B03E1E"/>
    <w:multiLevelType w:val="hybridMultilevel"/>
    <w:tmpl w:val="A4C00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32895"/>
    <w:multiLevelType w:val="hybridMultilevel"/>
    <w:tmpl w:val="214E080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406D5"/>
    <w:multiLevelType w:val="hybridMultilevel"/>
    <w:tmpl w:val="A136FCF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A80629"/>
    <w:multiLevelType w:val="hybridMultilevel"/>
    <w:tmpl w:val="E52664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068DA"/>
    <w:multiLevelType w:val="hybridMultilevel"/>
    <w:tmpl w:val="B5503386"/>
    <w:lvl w:ilvl="0" w:tplc="12B626F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1035D"/>
    <w:multiLevelType w:val="hybridMultilevel"/>
    <w:tmpl w:val="016E2430"/>
    <w:lvl w:ilvl="0" w:tplc="76785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4"/>
    <w:rsid w:val="00034335"/>
    <w:rsid w:val="0004031F"/>
    <w:rsid w:val="00046787"/>
    <w:rsid w:val="00062F99"/>
    <w:rsid w:val="00063C74"/>
    <w:rsid w:val="000833EF"/>
    <w:rsid w:val="000D3A30"/>
    <w:rsid w:val="000E1AAD"/>
    <w:rsid w:val="00141E90"/>
    <w:rsid w:val="00156C9A"/>
    <w:rsid w:val="00197DC0"/>
    <w:rsid w:val="001A3A71"/>
    <w:rsid w:val="00293830"/>
    <w:rsid w:val="002F2829"/>
    <w:rsid w:val="0036197F"/>
    <w:rsid w:val="00414746"/>
    <w:rsid w:val="004311DB"/>
    <w:rsid w:val="004358BF"/>
    <w:rsid w:val="00443C7D"/>
    <w:rsid w:val="0044652F"/>
    <w:rsid w:val="004A0C57"/>
    <w:rsid w:val="004A3633"/>
    <w:rsid w:val="004E4E10"/>
    <w:rsid w:val="005046E5"/>
    <w:rsid w:val="00505777"/>
    <w:rsid w:val="00546038"/>
    <w:rsid w:val="00547DC3"/>
    <w:rsid w:val="005D177A"/>
    <w:rsid w:val="005D3C34"/>
    <w:rsid w:val="00680E86"/>
    <w:rsid w:val="006A2926"/>
    <w:rsid w:val="006A7682"/>
    <w:rsid w:val="006F49D0"/>
    <w:rsid w:val="007417EB"/>
    <w:rsid w:val="00775231"/>
    <w:rsid w:val="00841818"/>
    <w:rsid w:val="00893267"/>
    <w:rsid w:val="008E16B7"/>
    <w:rsid w:val="00937D32"/>
    <w:rsid w:val="009B7F05"/>
    <w:rsid w:val="009E15C0"/>
    <w:rsid w:val="00A43F77"/>
    <w:rsid w:val="00A66118"/>
    <w:rsid w:val="00A75BB4"/>
    <w:rsid w:val="00A941A7"/>
    <w:rsid w:val="00AA55D4"/>
    <w:rsid w:val="00AB6480"/>
    <w:rsid w:val="00B02355"/>
    <w:rsid w:val="00B56B97"/>
    <w:rsid w:val="00B93DD6"/>
    <w:rsid w:val="00C35160"/>
    <w:rsid w:val="00C8346E"/>
    <w:rsid w:val="00C90FAA"/>
    <w:rsid w:val="00C941F2"/>
    <w:rsid w:val="00CB37A7"/>
    <w:rsid w:val="00CB5685"/>
    <w:rsid w:val="00CD1DD5"/>
    <w:rsid w:val="00CD78F5"/>
    <w:rsid w:val="00CF7C96"/>
    <w:rsid w:val="00D51C23"/>
    <w:rsid w:val="00D664CF"/>
    <w:rsid w:val="00D75170"/>
    <w:rsid w:val="00D84F5A"/>
    <w:rsid w:val="00DA7FA2"/>
    <w:rsid w:val="00DF2101"/>
    <w:rsid w:val="00DF53C6"/>
    <w:rsid w:val="00E22FE8"/>
    <w:rsid w:val="00E75929"/>
    <w:rsid w:val="00EA4F78"/>
    <w:rsid w:val="00EC4E46"/>
    <w:rsid w:val="00EC7280"/>
    <w:rsid w:val="00EE1043"/>
    <w:rsid w:val="00EF35FA"/>
    <w:rsid w:val="00F20E4B"/>
    <w:rsid w:val="00F357EE"/>
    <w:rsid w:val="00F60E9F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Title">
    <w:name w:val="_Template Title"/>
    <w:basedOn w:val="Normal"/>
    <w:next w:val="Normal"/>
    <w:semiHidden/>
    <w:qFormat/>
    <w:rsid w:val="00063C74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ascii="Calibri" w:eastAsia="Times New Roman" w:hAnsi="Calibri" w:cs="Calibri"/>
      <w:color w:val="999999"/>
      <w:sz w:val="88"/>
      <w:szCs w:val="9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929"/>
    <w:pPr>
      <w:spacing w:after="120" w:line="288" w:lineRule="auto"/>
      <w:ind w:left="720"/>
      <w:contextualSpacing/>
    </w:pPr>
    <w:rPr>
      <w:rFonts w:ascii="Verdana" w:eastAsia="Calibri" w:hAnsi="Verdana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F6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9F"/>
  </w:style>
  <w:style w:type="paragraph" w:styleId="Footer">
    <w:name w:val="footer"/>
    <w:basedOn w:val="Normal"/>
    <w:link w:val="FooterChar"/>
    <w:uiPriority w:val="99"/>
    <w:unhideWhenUsed/>
    <w:rsid w:val="00F6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Title">
    <w:name w:val="_Template Title"/>
    <w:basedOn w:val="Normal"/>
    <w:next w:val="Normal"/>
    <w:semiHidden/>
    <w:qFormat/>
    <w:rsid w:val="00063C74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ascii="Calibri" w:eastAsia="Times New Roman" w:hAnsi="Calibri" w:cs="Calibri"/>
      <w:color w:val="999999"/>
      <w:sz w:val="88"/>
      <w:szCs w:val="9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929"/>
    <w:pPr>
      <w:spacing w:after="120" w:line="288" w:lineRule="auto"/>
      <w:ind w:left="720"/>
      <w:contextualSpacing/>
    </w:pPr>
    <w:rPr>
      <w:rFonts w:ascii="Verdana" w:eastAsia="Calibri" w:hAnsi="Verdana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F6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9F"/>
  </w:style>
  <w:style w:type="paragraph" w:styleId="Footer">
    <w:name w:val="footer"/>
    <w:basedOn w:val="Normal"/>
    <w:link w:val="FooterChar"/>
    <w:uiPriority w:val="99"/>
    <w:unhideWhenUsed/>
    <w:rsid w:val="00F6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lint003\AppData\Local\Microsoft\Windows\Temporary%20Internet%20Files\Content.Outlook\HOP6SP4S\www.stats.govt.nz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slint003\AppData\Local\Microsoft\Windows\Temporary%20Internet%20Files\Content.Outlook\HOP6SP4S\www.stats.govt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3__=43BB0B50DFE40BB88f9e8a93df@stats.govt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www.stats.govt.n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Brennan</dc:creator>
  <cp:lastModifiedBy>Windows User</cp:lastModifiedBy>
  <cp:revision>2</cp:revision>
  <cp:lastPrinted>2017-11-06T22:30:00Z</cp:lastPrinted>
  <dcterms:created xsi:type="dcterms:W3CDTF">2018-07-24T20:37:00Z</dcterms:created>
  <dcterms:modified xsi:type="dcterms:W3CDTF">2018-07-24T20:37:00Z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A10059123</vt:lpwstr>
  </property>
  <property fmtid="{D5CDD505-2E9C-101B-9397-08002B2CF9AE}" pid="4" name="Objective-Title">
    <vt:lpwstr>2017 10 05 Summary of Disability Data and Evidence Working Group meeting</vt:lpwstr>
  </property>
  <property fmtid="{D5CDD505-2E9C-101B-9397-08002B2CF9AE}" pid="5" name="Objective-Comment">
    <vt:lpwstr/>
  </property>
  <property fmtid="{D5CDD505-2E9C-101B-9397-08002B2CF9AE}" pid="6" name="Objective-CreationStamp">
    <vt:filetime>2017-11-02T01:31:26Z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2017-11-06T22:37:03Z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Group:2017:2017 10 Oc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