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31"/>
        <w:gridCol w:w="1232"/>
        <w:gridCol w:w="1859"/>
        <w:gridCol w:w="1715"/>
        <w:gridCol w:w="2843"/>
      </w:tblGrid>
      <w:tr w:rsidR="00464F79" w14:paraId="20376623" w14:textId="77777777" w:rsidTr="00E27F56">
        <w:trPr>
          <w:trHeight w:val="1803"/>
        </w:trPr>
        <w:tc>
          <w:tcPr>
            <w:tcW w:w="2768" w:type="dxa"/>
            <w:gridSpan w:val="2"/>
            <w:vAlign w:val="bottom"/>
          </w:tcPr>
          <w:p w14:paraId="2934F87D" w14:textId="7E2ADEA0" w:rsidR="00464F79" w:rsidRDefault="003073E7" w:rsidP="00D16645">
            <w:pPr>
              <w:pStyle w:val="TemplateTitle"/>
            </w:pPr>
            <w:r>
              <w:t>R</w:t>
            </w:r>
            <w:r w:rsidR="00090FD3">
              <w:t>eport</w:t>
            </w:r>
          </w:p>
        </w:tc>
        <w:tc>
          <w:tcPr>
            <w:tcW w:w="6412" w:type="dxa"/>
            <w:gridSpan w:val="3"/>
          </w:tcPr>
          <w:p w14:paraId="702D9844" w14:textId="77777777" w:rsidR="00464F79" w:rsidRDefault="00E27F56" w:rsidP="00B42F06">
            <w:pPr>
              <w:jc w:val="right"/>
            </w:pPr>
            <w:bookmarkStart w:id="0" w:name="bkmBrandingLogo"/>
            <w:bookmarkEnd w:id="0"/>
            <w:r>
              <w:rPr>
                <w:noProof/>
              </w:rPr>
              <w:drawing>
                <wp:inline distT="0" distB="0" distL="0" distR="0" wp14:anchorId="557FD0BE" wp14:editId="2377EB08">
                  <wp:extent cx="2592229"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2229" cy="1143000"/>
                          </a:xfrm>
                          <a:prstGeom prst="rect">
                            <a:avLst/>
                          </a:prstGeom>
                        </pic:spPr>
                      </pic:pic>
                    </a:graphicData>
                  </a:graphic>
                </wp:inline>
              </w:drawing>
            </w:r>
          </w:p>
        </w:tc>
      </w:tr>
      <w:tr w:rsidR="00464F79" w14:paraId="7AF4C468" w14:textId="77777777">
        <w:trPr>
          <w:trHeight w:hRule="exact" w:val="340"/>
        </w:trPr>
        <w:tc>
          <w:tcPr>
            <w:tcW w:w="1531" w:type="dxa"/>
          </w:tcPr>
          <w:p w14:paraId="085602E4" w14:textId="77777777" w:rsidR="00464F79" w:rsidRDefault="00464F79" w:rsidP="00464F79"/>
        </w:tc>
        <w:tc>
          <w:tcPr>
            <w:tcW w:w="7649" w:type="dxa"/>
            <w:gridSpan w:val="4"/>
          </w:tcPr>
          <w:p w14:paraId="66B9A4D1" w14:textId="77777777" w:rsidR="00464F79" w:rsidRDefault="00464F79" w:rsidP="00464F79"/>
        </w:tc>
      </w:tr>
      <w:tr w:rsidR="00E27684" w:rsidRPr="003073E7" w14:paraId="12C1A1BC" w14:textId="77777777" w:rsidTr="00E27F56">
        <w:tc>
          <w:tcPr>
            <w:tcW w:w="1531" w:type="dxa"/>
          </w:tcPr>
          <w:p w14:paraId="1B1FCBDC" w14:textId="77777777" w:rsidR="00E27684" w:rsidRPr="003073E7" w:rsidRDefault="00E27684" w:rsidP="00501BA1">
            <w:pPr>
              <w:pStyle w:val="TemplateSubtitle"/>
              <w:tabs>
                <w:tab w:val="clear" w:pos="1620"/>
                <w:tab w:val="clear" w:pos="5220"/>
                <w:tab w:val="clear" w:pos="6840"/>
              </w:tabs>
              <w:rPr>
                <w:rFonts w:ascii="Verdana" w:hAnsi="Verdana"/>
              </w:rPr>
            </w:pPr>
            <w:r w:rsidRPr="003073E7">
              <w:rPr>
                <w:rFonts w:ascii="Verdana" w:hAnsi="Verdana"/>
              </w:rPr>
              <w:t>Date:</w:t>
            </w:r>
          </w:p>
        </w:tc>
        <w:tc>
          <w:tcPr>
            <w:tcW w:w="3101" w:type="dxa"/>
            <w:gridSpan w:val="2"/>
          </w:tcPr>
          <w:p w14:paraId="2DDC76FD" w14:textId="64F639D3" w:rsidR="00E27684" w:rsidRPr="003073E7" w:rsidRDefault="008C7868" w:rsidP="00F36732">
            <w:pPr>
              <w:rPr>
                <w:rFonts w:ascii="Verdana" w:hAnsi="Verdana"/>
              </w:rPr>
            </w:pPr>
            <w:bookmarkStart w:id="1" w:name="bkmDate"/>
            <w:r>
              <w:rPr>
                <w:rFonts w:ascii="Verdana" w:hAnsi="Verdana"/>
              </w:rPr>
              <w:t>30 September</w:t>
            </w:r>
            <w:r w:rsidR="00E27F56">
              <w:rPr>
                <w:rFonts w:ascii="Verdana" w:hAnsi="Verdana"/>
              </w:rPr>
              <w:t xml:space="preserve"> 2016</w:t>
            </w:r>
            <w:bookmarkEnd w:id="1"/>
          </w:p>
        </w:tc>
        <w:tc>
          <w:tcPr>
            <w:tcW w:w="1721" w:type="dxa"/>
          </w:tcPr>
          <w:p w14:paraId="7DCD86FF" w14:textId="77777777" w:rsidR="00E27684" w:rsidRPr="003073E7" w:rsidRDefault="00E27684" w:rsidP="00E27684">
            <w:pPr>
              <w:pStyle w:val="TemplateSubtitle"/>
              <w:tabs>
                <w:tab w:val="clear" w:pos="1620"/>
                <w:tab w:val="clear" w:pos="5220"/>
                <w:tab w:val="clear" w:pos="6840"/>
              </w:tabs>
              <w:rPr>
                <w:rFonts w:ascii="Verdana" w:hAnsi="Verdana"/>
              </w:rPr>
            </w:pPr>
          </w:p>
        </w:tc>
        <w:tc>
          <w:tcPr>
            <w:tcW w:w="2827" w:type="dxa"/>
            <w:noWrap/>
          </w:tcPr>
          <w:p w14:paraId="50C0E297" w14:textId="77777777" w:rsidR="00E27684" w:rsidRPr="003073E7" w:rsidRDefault="00E27684" w:rsidP="00F36732">
            <w:pPr>
              <w:rPr>
                <w:rFonts w:ascii="Verdana" w:hAnsi="Verdana"/>
              </w:rPr>
            </w:pPr>
          </w:p>
        </w:tc>
      </w:tr>
    </w:tbl>
    <w:p w14:paraId="29666BD6" w14:textId="77777777" w:rsidR="00FA7B2E" w:rsidRDefault="00E27F56" w:rsidP="00EC313B">
      <w:pPr>
        <w:pStyle w:val="Heading3"/>
      </w:pPr>
      <w:bookmarkStart w:id="2" w:name="bkmTitle"/>
      <w:r>
        <w:t>Key issues for disabled people in New Zealand</w:t>
      </w:r>
      <w:bookmarkEnd w:id="2"/>
    </w:p>
    <w:p w14:paraId="5943AF9B" w14:textId="77777777" w:rsidR="007718E9" w:rsidRDefault="007718E9" w:rsidP="006B1EE5">
      <w:pPr>
        <w:pStyle w:val="RecLevel1"/>
      </w:pPr>
      <w:r>
        <w:t>This information assignment provides a brief overview of key issues for disabled people in New Zealand.</w:t>
      </w:r>
      <w:r>
        <w:rPr>
          <w:rStyle w:val="FootnoteReference"/>
        </w:rPr>
        <w:footnoteReference w:id="1"/>
      </w:r>
      <w:r>
        <w:t xml:space="preserve"> The focus of the assignment is on:</w:t>
      </w:r>
    </w:p>
    <w:p w14:paraId="14B4B65C" w14:textId="77777777" w:rsidR="007718E9" w:rsidRDefault="007718E9" w:rsidP="00AD2B15">
      <w:pPr>
        <w:pStyle w:val="Bullet1"/>
      </w:pPr>
      <w:r>
        <w:t>key areas of inequality between disabled and non-disabled people, drawing on published data from Statistics New Zealand’s 2013 Disability Survey (the Disability Survey)</w:t>
      </w:r>
      <w:r>
        <w:rPr>
          <w:rStyle w:val="FootnoteReference"/>
        </w:rPr>
        <w:footnoteReference w:id="2"/>
      </w:r>
    </w:p>
    <w:p w14:paraId="73C4B438" w14:textId="77777777" w:rsidR="007718E9" w:rsidRDefault="007718E9" w:rsidP="00AD2B15">
      <w:pPr>
        <w:pStyle w:val="Bullet1"/>
      </w:pPr>
      <w:r>
        <w:t>fundamental concerns expressed by disabled people in the research on their lived experience of disability, drawing on the New Zealand Convention Coalition Monitoring Group</w:t>
      </w:r>
      <w:r w:rsidR="00171DBC">
        <w:t xml:space="preserve"> (Convention Coalition)</w:t>
      </w:r>
      <w:r>
        <w:t xml:space="preserve"> reports.</w:t>
      </w:r>
      <w:r>
        <w:rPr>
          <w:rStyle w:val="FootnoteReference"/>
        </w:rPr>
        <w:footnoteReference w:id="3"/>
      </w:r>
    </w:p>
    <w:p w14:paraId="5C42CF83" w14:textId="77777777" w:rsidR="00AC2FFC" w:rsidRDefault="00AC2FFC" w:rsidP="00AC2FFC">
      <w:pPr>
        <w:pStyle w:val="Heading3"/>
      </w:pPr>
      <w:r>
        <w:t>Summary: Keys issues for disabled people in New Zealand</w:t>
      </w:r>
    </w:p>
    <w:p w14:paraId="733CC5C3" w14:textId="0DB3EFEF" w:rsidR="0096134F" w:rsidRPr="0096134F" w:rsidRDefault="0096134F" w:rsidP="0096134F">
      <w:pPr>
        <w:pStyle w:val="Bullet1"/>
        <w:numPr>
          <w:ilvl w:val="0"/>
          <w:numId w:val="0"/>
        </w:numPr>
        <w:rPr>
          <w:i/>
        </w:rPr>
      </w:pPr>
      <w:r>
        <w:rPr>
          <w:i/>
        </w:rPr>
        <w:t>2013 Disability Survey</w:t>
      </w:r>
      <w:r>
        <w:rPr>
          <w:rStyle w:val="FootnoteReference"/>
          <w:i/>
        </w:rPr>
        <w:footnoteReference w:id="4"/>
      </w:r>
    </w:p>
    <w:p w14:paraId="0A1FC882" w14:textId="77777777" w:rsidR="00D26E64" w:rsidRDefault="00D26E64" w:rsidP="00D26E64">
      <w:pPr>
        <w:pStyle w:val="Bullet1"/>
      </w:pPr>
      <w:r>
        <w:t>Disabled people are less likely to be employed compared to non-disabled people</w:t>
      </w:r>
      <w:r w:rsidR="00EC7AB7">
        <w:t>.</w:t>
      </w:r>
    </w:p>
    <w:p w14:paraId="005BD6A2" w14:textId="77777777" w:rsidR="00552500" w:rsidRDefault="00552500" w:rsidP="00D26E64">
      <w:pPr>
        <w:pStyle w:val="Bullet1"/>
      </w:pPr>
      <w:r>
        <w:t>Although disabled people are concerned about various issues in the workplace, employed disabled people express a good level of job satisfaction.</w:t>
      </w:r>
    </w:p>
    <w:p w14:paraId="5E45A931" w14:textId="77777777" w:rsidR="00D26E64" w:rsidRDefault="00D26E64" w:rsidP="00D26E64">
      <w:pPr>
        <w:pStyle w:val="Bullet1"/>
      </w:pPr>
      <w:r>
        <w:t>Disabled people are less likely to have educational qualifications compared to</w:t>
      </w:r>
      <w:r w:rsidR="00544372">
        <w:t xml:space="preserve"> non-</w:t>
      </w:r>
      <w:r>
        <w:t>disabled people</w:t>
      </w:r>
      <w:r w:rsidR="00EC7AB7">
        <w:t>.</w:t>
      </w:r>
    </w:p>
    <w:p w14:paraId="7AC4CB4C" w14:textId="77777777" w:rsidR="00D26E64" w:rsidRDefault="00D26E64" w:rsidP="00D26E64">
      <w:pPr>
        <w:pStyle w:val="Bullet1"/>
      </w:pPr>
      <w:r>
        <w:t>Disabled people are less likely to be employed in managerial and professional occupations compared to non-disabled people</w:t>
      </w:r>
      <w:r w:rsidR="00EC7AB7">
        <w:t>.</w:t>
      </w:r>
    </w:p>
    <w:p w14:paraId="6AB81373" w14:textId="1808B730" w:rsidR="00D26E64" w:rsidRDefault="00D26E64" w:rsidP="00D26E64">
      <w:pPr>
        <w:pStyle w:val="Bullet1"/>
      </w:pPr>
      <w:r>
        <w:t>Disabled people are more likely to be re</w:t>
      </w:r>
      <w:r w:rsidR="006114B6">
        <w:t>presented in low income groups</w:t>
      </w:r>
      <w:r>
        <w:t xml:space="preserve"> compared to non-disabled people</w:t>
      </w:r>
      <w:r w:rsidR="00EC7AB7">
        <w:t>.</w:t>
      </w:r>
    </w:p>
    <w:p w14:paraId="4CEE6657" w14:textId="77777777" w:rsidR="007E04F0" w:rsidRDefault="007E04F0" w:rsidP="00D26E64">
      <w:pPr>
        <w:pStyle w:val="Bullet1"/>
      </w:pPr>
      <w:r>
        <w:t>Disabled people are less likely to feel healthy compared to non-disabled people.</w:t>
      </w:r>
    </w:p>
    <w:p w14:paraId="2A0EC89D" w14:textId="0355DD28" w:rsidR="00E12078" w:rsidRDefault="00E12078" w:rsidP="00D26E64">
      <w:pPr>
        <w:pStyle w:val="Bullet1"/>
      </w:pPr>
      <w:r>
        <w:t>Disabled and non-disabled people feel equally safe at home and in their neighbourhood during the day. However, disabled people are less likely than non-disabled people to feel safe when out alone in their neighbourhood after dark.</w:t>
      </w:r>
    </w:p>
    <w:p w14:paraId="47992A6D" w14:textId="77777777" w:rsidR="00E12078" w:rsidRDefault="00E12078" w:rsidP="00E12078">
      <w:pPr>
        <w:pStyle w:val="Bullet1"/>
        <w:numPr>
          <w:ilvl w:val="0"/>
          <w:numId w:val="0"/>
        </w:numPr>
        <w:ind w:left="397"/>
      </w:pPr>
    </w:p>
    <w:p w14:paraId="34B43292" w14:textId="77777777" w:rsidR="00EC3332" w:rsidRDefault="00EC3332" w:rsidP="00E12078">
      <w:pPr>
        <w:pStyle w:val="Bullet1"/>
        <w:numPr>
          <w:ilvl w:val="0"/>
          <w:numId w:val="0"/>
        </w:numPr>
      </w:pPr>
    </w:p>
    <w:p w14:paraId="0004CD34" w14:textId="77777777" w:rsidR="00EC3332" w:rsidRDefault="00EC3332" w:rsidP="00EC3332">
      <w:pPr>
        <w:pStyle w:val="Bullet1"/>
        <w:numPr>
          <w:ilvl w:val="0"/>
          <w:numId w:val="0"/>
        </w:numPr>
        <w:ind w:left="964" w:hanging="567"/>
      </w:pPr>
    </w:p>
    <w:p w14:paraId="37F61252" w14:textId="59E4FD17" w:rsidR="006114B6" w:rsidRPr="006114B6" w:rsidRDefault="006114B6" w:rsidP="006114B6">
      <w:pPr>
        <w:pStyle w:val="Bullet1"/>
        <w:numPr>
          <w:ilvl w:val="0"/>
          <w:numId w:val="0"/>
        </w:numPr>
        <w:rPr>
          <w:i/>
        </w:rPr>
      </w:pPr>
      <w:r>
        <w:rPr>
          <w:i/>
        </w:rPr>
        <w:t>New Zealand Convention Coalition Monitoring Group</w:t>
      </w:r>
      <w:r w:rsidR="00E237DA">
        <w:rPr>
          <w:i/>
        </w:rPr>
        <w:t xml:space="preserve"> reports</w:t>
      </w:r>
      <w:r>
        <w:rPr>
          <w:rStyle w:val="FootnoteReference"/>
          <w:i/>
        </w:rPr>
        <w:footnoteReference w:id="5"/>
      </w:r>
    </w:p>
    <w:p w14:paraId="1638E115" w14:textId="4B7790A7" w:rsidR="006114B6" w:rsidRDefault="00BA3732" w:rsidP="006114B6">
      <w:pPr>
        <w:pStyle w:val="Bullet1"/>
      </w:pPr>
      <w:r>
        <w:t>Disabled youth</w:t>
      </w:r>
      <w:r w:rsidR="006114B6">
        <w:t xml:space="preserve"> report being excluded and subjected to intimidation and bullying at school.</w:t>
      </w:r>
    </w:p>
    <w:p w14:paraId="3FC67C8E" w14:textId="77777777" w:rsidR="006114B6" w:rsidRDefault="006114B6" w:rsidP="006114B6">
      <w:pPr>
        <w:pStyle w:val="Bullet1"/>
      </w:pPr>
      <w:r>
        <w:t>Poverty has an impact on the daily lives of disabled people.</w:t>
      </w:r>
    </w:p>
    <w:p w14:paraId="26CF8BA7" w14:textId="77777777" w:rsidR="006114B6" w:rsidRDefault="006114B6" w:rsidP="006114B6">
      <w:pPr>
        <w:pStyle w:val="Bullet1"/>
      </w:pPr>
      <w:r>
        <w:t>Disabled people are concerned about barriers in accessing health services and the negative attitudes of health professionals.</w:t>
      </w:r>
    </w:p>
    <w:p w14:paraId="6D4B3737" w14:textId="77777777" w:rsidR="006114B6" w:rsidRDefault="006114B6" w:rsidP="006114B6">
      <w:pPr>
        <w:pStyle w:val="Bullet1"/>
      </w:pPr>
      <w:r>
        <w:t>Inability to be fully involved in social activities is a barrier to disabled people’s full participation in society.</w:t>
      </w:r>
    </w:p>
    <w:p w14:paraId="6911F57E" w14:textId="77777777" w:rsidR="006114B6" w:rsidRDefault="006114B6" w:rsidP="006114B6">
      <w:pPr>
        <w:pStyle w:val="Bullet1"/>
      </w:pPr>
      <w:r>
        <w:t>Physical and environmental barriers impede disabled people from fully accessing their communities.</w:t>
      </w:r>
    </w:p>
    <w:p w14:paraId="61A2A739" w14:textId="1522780E" w:rsidR="006114B6" w:rsidRDefault="00C27E10" w:rsidP="006114B6">
      <w:pPr>
        <w:pStyle w:val="Bullet1"/>
      </w:pPr>
      <w:r>
        <w:t>There is l</w:t>
      </w:r>
      <w:r w:rsidR="006114B6">
        <w:t>ack of consistency, choice, funding and respect for consumers in disability support services.</w:t>
      </w:r>
    </w:p>
    <w:p w14:paraId="31286FF4" w14:textId="65253CF1" w:rsidR="006114B6" w:rsidRPr="00D26E64" w:rsidRDefault="00C27E10" w:rsidP="00D26E64">
      <w:pPr>
        <w:pStyle w:val="Bullet1"/>
      </w:pPr>
      <w:r>
        <w:t>There is a l</w:t>
      </w:r>
      <w:r w:rsidR="006114B6">
        <w:t xml:space="preserve">ack of disability awareness and responsiveness in society. </w:t>
      </w:r>
    </w:p>
    <w:p w14:paraId="5FE6B628" w14:textId="77777777" w:rsidR="007718E9" w:rsidRDefault="007718E9" w:rsidP="00FC3088">
      <w:pPr>
        <w:pStyle w:val="Heading3"/>
      </w:pPr>
      <w:r>
        <w:t>The diversity of the disabled population</w:t>
      </w:r>
    </w:p>
    <w:p w14:paraId="30E703A2" w14:textId="77777777" w:rsidR="007718E9" w:rsidRDefault="007718E9" w:rsidP="006B1EE5">
      <w:pPr>
        <w:pStyle w:val="RecLevel1"/>
      </w:pPr>
      <w:r>
        <w:t xml:space="preserve">Twenty-four percent of the New Zealand population is identified as disabled, a total of 1.1 million people. Disability increases with age. </w:t>
      </w:r>
      <w:r w:rsidR="00B71724">
        <w:t>Twenty-one</w:t>
      </w:r>
      <w:r>
        <w:t xml:space="preserve"> percent of adults under 65 are disabled, compared to 59 percen</w:t>
      </w:r>
      <w:r w:rsidR="00F640E0">
        <w:t>t for adults aged 65 or over. Eleven</w:t>
      </w:r>
      <w:r>
        <w:t xml:space="preserve"> percent of children (0-14 years) are disabled. </w:t>
      </w:r>
    </w:p>
    <w:p w14:paraId="2983354B" w14:textId="77777777" w:rsidR="007718E9" w:rsidRDefault="007718E9" w:rsidP="006B1EE5">
      <w:pPr>
        <w:pStyle w:val="RecLevel1"/>
      </w:pPr>
      <w:r>
        <w:t>There is little difference in disability rates for men and women (aged 15 years and over). However, the likelihood of boys being disabled is higher than for girls, that is, 13 percent and 8 percent respectively.</w:t>
      </w:r>
    </w:p>
    <w:p w14:paraId="29A0571D" w14:textId="77777777" w:rsidR="007718E9" w:rsidRDefault="00D74290" w:rsidP="006B1EE5">
      <w:pPr>
        <w:pStyle w:val="RecLevel1"/>
      </w:pPr>
      <w:r>
        <w:t>Disability rates vary</w:t>
      </w:r>
      <w:r w:rsidR="007718E9">
        <w:t xml:space="preserve"> by ethnic group. The disability rates for the four main ethnic groups are:</w:t>
      </w:r>
    </w:p>
    <w:p w14:paraId="073AB759" w14:textId="77777777" w:rsidR="007718E9" w:rsidRDefault="007718E9" w:rsidP="00946A79">
      <w:pPr>
        <w:pStyle w:val="Bullet1"/>
      </w:pPr>
      <w:r>
        <w:t>M</w:t>
      </w:r>
      <w:r>
        <w:rPr>
          <w:rFonts w:ascii="Arial" w:hAnsi="Arial"/>
        </w:rPr>
        <w:t>ā</w:t>
      </w:r>
      <w:r>
        <w:t>ori (26 percent)</w:t>
      </w:r>
    </w:p>
    <w:p w14:paraId="72989391" w14:textId="77777777" w:rsidR="007718E9" w:rsidRDefault="007718E9" w:rsidP="00946A79">
      <w:pPr>
        <w:pStyle w:val="Bullet1"/>
      </w:pPr>
      <w:r>
        <w:t>European (25 percent)</w:t>
      </w:r>
    </w:p>
    <w:p w14:paraId="62621164" w14:textId="77777777" w:rsidR="007718E9" w:rsidRDefault="007718E9" w:rsidP="00946A79">
      <w:pPr>
        <w:pStyle w:val="Bullet1"/>
      </w:pPr>
      <w:r>
        <w:t>Pacific (19 percent)</w:t>
      </w:r>
    </w:p>
    <w:p w14:paraId="674222EF" w14:textId="77777777" w:rsidR="007718E9" w:rsidRDefault="007718E9" w:rsidP="00946A79">
      <w:pPr>
        <w:pStyle w:val="Bullet1"/>
      </w:pPr>
      <w:r>
        <w:t>Asian (13 percent).</w:t>
      </w:r>
    </w:p>
    <w:p w14:paraId="6F432375" w14:textId="77777777" w:rsidR="007718E9" w:rsidRDefault="007718E9" w:rsidP="006B1EE5">
      <w:pPr>
        <w:pStyle w:val="RecLevel1"/>
      </w:pPr>
      <w:r>
        <w:t>M</w:t>
      </w:r>
      <w:r>
        <w:rPr>
          <w:rFonts w:ascii="Arial" w:hAnsi="Arial"/>
        </w:rPr>
        <w:t>ā</w:t>
      </w:r>
      <w:r>
        <w:t>ori have higher-than-average disability rates, despite having a smaller older age population. M</w:t>
      </w:r>
      <w:r>
        <w:rPr>
          <w:rFonts w:ascii="Arial" w:hAnsi="Arial"/>
        </w:rPr>
        <w:t>ā</w:t>
      </w:r>
      <w:r>
        <w:t>ori are more likely to be disabled (26 percent) than non-M</w:t>
      </w:r>
      <w:r>
        <w:rPr>
          <w:rFonts w:ascii="Arial" w:hAnsi="Arial"/>
        </w:rPr>
        <w:t>ā</w:t>
      </w:r>
      <w:r>
        <w:t>ori (24 percent). M</w:t>
      </w:r>
      <w:r>
        <w:rPr>
          <w:rFonts w:ascii="Arial" w:hAnsi="Arial"/>
        </w:rPr>
        <w:t>ā</w:t>
      </w:r>
      <w:r>
        <w:t>ori children have a disability rate of 15 percent, whereas the equivalent figure for non-M</w:t>
      </w:r>
      <w:r>
        <w:rPr>
          <w:rFonts w:ascii="Arial" w:hAnsi="Arial"/>
        </w:rPr>
        <w:t>ā</w:t>
      </w:r>
      <w:r>
        <w:t>ori children is 9 percent.</w:t>
      </w:r>
    </w:p>
    <w:p w14:paraId="485589C8" w14:textId="77777777" w:rsidR="00EC3332" w:rsidRDefault="00EC3332" w:rsidP="00EC3332">
      <w:pPr>
        <w:pStyle w:val="RecLevel1"/>
        <w:numPr>
          <w:ilvl w:val="0"/>
          <w:numId w:val="0"/>
        </w:numPr>
        <w:ind w:left="567" w:hanging="567"/>
      </w:pPr>
    </w:p>
    <w:p w14:paraId="1493A0DE" w14:textId="77777777" w:rsidR="00EC3332" w:rsidRDefault="00EC3332" w:rsidP="00EC3332">
      <w:pPr>
        <w:pStyle w:val="RecLevel1"/>
        <w:numPr>
          <w:ilvl w:val="0"/>
          <w:numId w:val="0"/>
        </w:numPr>
        <w:ind w:left="567" w:hanging="567"/>
      </w:pPr>
    </w:p>
    <w:p w14:paraId="7E8F101A" w14:textId="77777777" w:rsidR="00EC3332" w:rsidRDefault="00EC3332" w:rsidP="00EC3332">
      <w:pPr>
        <w:pStyle w:val="RecLevel1"/>
        <w:numPr>
          <w:ilvl w:val="0"/>
          <w:numId w:val="0"/>
        </w:numPr>
        <w:ind w:left="567" w:hanging="567"/>
      </w:pPr>
    </w:p>
    <w:p w14:paraId="5169C322" w14:textId="77777777" w:rsidR="00EC3332" w:rsidRDefault="00EC3332" w:rsidP="00EC3332">
      <w:pPr>
        <w:pStyle w:val="RecLevel1"/>
        <w:numPr>
          <w:ilvl w:val="0"/>
          <w:numId w:val="0"/>
        </w:numPr>
        <w:ind w:left="567" w:hanging="567"/>
      </w:pPr>
    </w:p>
    <w:p w14:paraId="616FDBC5" w14:textId="77777777" w:rsidR="00EC3332" w:rsidRDefault="00EC3332" w:rsidP="00EC3332">
      <w:pPr>
        <w:pStyle w:val="RecLevel1"/>
        <w:numPr>
          <w:ilvl w:val="0"/>
          <w:numId w:val="0"/>
        </w:numPr>
        <w:ind w:left="567" w:hanging="567"/>
      </w:pPr>
    </w:p>
    <w:p w14:paraId="1B4F0E67" w14:textId="77777777" w:rsidR="00EC3332" w:rsidRDefault="00EC3332" w:rsidP="00EC3332">
      <w:pPr>
        <w:pStyle w:val="RecLevel1"/>
        <w:numPr>
          <w:ilvl w:val="0"/>
          <w:numId w:val="0"/>
        </w:numPr>
        <w:ind w:left="567" w:hanging="567"/>
      </w:pPr>
    </w:p>
    <w:p w14:paraId="42E8463B" w14:textId="77777777" w:rsidR="00EC3332" w:rsidRDefault="00EC3332" w:rsidP="00EC3332">
      <w:pPr>
        <w:pStyle w:val="RecLevel1"/>
        <w:numPr>
          <w:ilvl w:val="0"/>
          <w:numId w:val="0"/>
        </w:numPr>
        <w:ind w:left="567" w:hanging="567"/>
      </w:pPr>
    </w:p>
    <w:p w14:paraId="63DB23D7" w14:textId="77777777" w:rsidR="00EC3332" w:rsidRDefault="00EC3332" w:rsidP="00EC3332">
      <w:pPr>
        <w:pStyle w:val="RecLevel1"/>
        <w:numPr>
          <w:ilvl w:val="0"/>
          <w:numId w:val="0"/>
        </w:numPr>
        <w:ind w:left="567" w:hanging="567"/>
      </w:pPr>
    </w:p>
    <w:p w14:paraId="68FAEA36" w14:textId="77777777" w:rsidR="00EC3332" w:rsidRPr="00DE421C" w:rsidRDefault="00EC3332" w:rsidP="00EC3332">
      <w:pPr>
        <w:pStyle w:val="RecLevel1"/>
        <w:numPr>
          <w:ilvl w:val="0"/>
          <w:numId w:val="0"/>
        </w:numPr>
        <w:ind w:left="567" w:hanging="567"/>
      </w:pPr>
    </w:p>
    <w:p w14:paraId="7DB42A46" w14:textId="77777777" w:rsidR="007718E9" w:rsidRDefault="007718E9" w:rsidP="00C62301">
      <w:pPr>
        <w:pStyle w:val="Heading3"/>
      </w:pPr>
      <w:r>
        <w:lastRenderedPageBreak/>
        <w:t>Key areas of inequality between disabled and non-disabled people and disabled people’s expressed concerns</w:t>
      </w:r>
    </w:p>
    <w:p w14:paraId="03C6B97E" w14:textId="4A6F4079" w:rsidR="00B71724" w:rsidRDefault="007718E9" w:rsidP="002047A2">
      <w:pPr>
        <w:pStyle w:val="RecLevel1"/>
      </w:pPr>
      <w:r>
        <w:t>The Disability Survey</w:t>
      </w:r>
      <w:r w:rsidR="00B50705">
        <w:rPr>
          <w:rStyle w:val="FootnoteReference"/>
        </w:rPr>
        <w:footnoteReference w:id="6"/>
      </w:r>
      <w:r>
        <w:t xml:space="preserve"> shows that, on average, disabled people experience poorer economic and social </w:t>
      </w:r>
      <w:r w:rsidR="00E237DA">
        <w:t>outcomes t</w:t>
      </w:r>
      <w:r>
        <w:t>han non-disabled people.</w:t>
      </w:r>
      <w:r>
        <w:rPr>
          <w:rStyle w:val="FootnoteReference"/>
        </w:rPr>
        <w:footnoteReference w:id="7"/>
      </w:r>
      <w:r>
        <w:t xml:space="preserve"> The Convention Coalition’s research reports on disabled people’s lived experience of disability substantiate</w:t>
      </w:r>
      <w:r w:rsidR="00396E8B">
        <w:t xml:space="preserve"> most of</w:t>
      </w:r>
      <w:r>
        <w:t xml:space="preserve"> the data derived from the 2013 Disability Survey.</w:t>
      </w:r>
      <w:r>
        <w:rPr>
          <w:rStyle w:val="FootnoteReference"/>
        </w:rPr>
        <w:footnoteReference w:id="8"/>
      </w:r>
    </w:p>
    <w:p w14:paraId="79C6C633" w14:textId="759190B7" w:rsidR="007718E9" w:rsidRDefault="007667BB" w:rsidP="00375321">
      <w:pPr>
        <w:pStyle w:val="Heading4"/>
        <w:rPr>
          <w:lang w:val="en-NZ"/>
        </w:rPr>
      </w:pPr>
      <w:r>
        <w:rPr>
          <w:lang w:val="en-NZ"/>
        </w:rPr>
        <w:t>Disabled people are less likely to be employed compared to non-disabled people</w:t>
      </w:r>
      <w:r w:rsidR="000A787C">
        <w:rPr>
          <w:rStyle w:val="FootnoteReference"/>
        </w:rPr>
        <w:footnoteReference w:id="9"/>
      </w:r>
    </w:p>
    <w:p w14:paraId="59AE91E7" w14:textId="77777777" w:rsidR="00201B7D" w:rsidRPr="00F36DFA" w:rsidRDefault="00201B7D" w:rsidP="00FB11C5">
      <w:pPr>
        <w:pStyle w:val="RecLevel1"/>
      </w:pPr>
      <w:r w:rsidRPr="00F36DFA">
        <w:t>Summary</w:t>
      </w:r>
    </w:p>
    <w:p w14:paraId="19204308" w14:textId="77777777" w:rsidR="00201B7D" w:rsidRDefault="00201B7D" w:rsidP="00201B7D">
      <w:pPr>
        <w:pStyle w:val="Bullet1"/>
      </w:pPr>
      <w:r>
        <w:t>Less than half of disabled people are employed compared to almost three-quarters of non-disabled people. Disabled people are, therefore, more likely to experience economic and social disadvantages.</w:t>
      </w:r>
    </w:p>
    <w:p w14:paraId="05B843E8" w14:textId="54B81A73" w:rsidR="00201B7D" w:rsidRDefault="00201B7D" w:rsidP="00201B7D">
      <w:pPr>
        <w:pStyle w:val="Bullet1"/>
      </w:pPr>
      <w:r>
        <w:t>Among M</w:t>
      </w:r>
      <w:r>
        <w:rPr>
          <w:rFonts w:ascii="Arial" w:hAnsi="Arial"/>
        </w:rPr>
        <w:t>ā</w:t>
      </w:r>
      <w:r>
        <w:t xml:space="preserve">ori, </w:t>
      </w:r>
      <w:r w:rsidR="009B61F9">
        <w:t xml:space="preserve">a </w:t>
      </w:r>
      <w:r>
        <w:t>disability reduces the likelihood of being employed.</w:t>
      </w:r>
    </w:p>
    <w:p w14:paraId="0911BF07" w14:textId="6D5C691B" w:rsidR="00201B7D" w:rsidRDefault="00B63CFD" w:rsidP="00201B7D">
      <w:pPr>
        <w:pStyle w:val="Bullet1"/>
      </w:pPr>
      <w:r>
        <w:t>Disabled women are less likely than disabled men to be employed full-time.</w:t>
      </w:r>
      <w:r w:rsidR="00201B7D">
        <w:t xml:space="preserve"> </w:t>
      </w:r>
    </w:p>
    <w:p w14:paraId="08DA154F" w14:textId="76AC41B0" w:rsidR="00804C04" w:rsidRDefault="00804C04" w:rsidP="00804C04">
      <w:pPr>
        <w:pStyle w:val="RecLevel1"/>
      </w:pPr>
      <w:r>
        <w:t>For the employed population aged 15+ (2,232,000), 19 percent are disabled. Forty-five percent of disabled adults are employed, compared to 72 percent of non-disabled adults.</w:t>
      </w:r>
      <w:r>
        <w:rPr>
          <w:rStyle w:val="FootnoteReference"/>
        </w:rPr>
        <w:footnoteReference w:id="10"/>
      </w:r>
      <w:r w:rsidR="00FF1D3E">
        <w:t xml:space="preserve"> The older age profile of the disabled population has a significant effect on their employment rate. Among those under 65, disabled adults have an employment rate of 61 percent, compared to 76 percent for their non-disabled peers.</w:t>
      </w:r>
      <w:r>
        <w:t xml:space="preserve"> </w:t>
      </w:r>
    </w:p>
    <w:p w14:paraId="31704028" w14:textId="3109A964" w:rsidR="007718E9" w:rsidRDefault="007718E9" w:rsidP="00D236EB">
      <w:pPr>
        <w:pStyle w:val="RecLevel1"/>
      </w:pPr>
      <w:r>
        <w:t>Employment rates vary considerably within the d</w:t>
      </w:r>
      <w:r w:rsidR="00B71724">
        <w:t xml:space="preserve">isabled population ranging from </w:t>
      </w:r>
      <w:r>
        <w:t>30 percent for those with agility impairments to 45 percent for those with psychiatric/psychological or hearing impairments.</w:t>
      </w:r>
    </w:p>
    <w:p w14:paraId="3A5A0ACF" w14:textId="61C03AD7" w:rsidR="007718E9" w:rsidRDefault="007718E9" w:rsidP="00804C04">
      <w:pPr>
        <w:pStyle w:val="RecLevel1"/>
      </w:pPr>
      <w:r>
        <w:t>The data points to disability as a factor influencing the likelihood of M</w:t>
      </w:r>
      <w:r>
        <w:rPr>
          <w:rFonts w:ascii="Arial" w:hAnsi="Arial"/>
        </w:rPr>
        <w:t>ā</w:t>
      </w:r>
      <w:r>
        <w:t>ori being employed. For example, 44 percent of disabled M</w:t>
      </w:r>
      <w:r>
        <w:rPr>
          <w:rFonts w:ascii="Arial" w:hAnsi="Arial"/>
        </w:rPr>
        <w:t>ā</w:t>
      </w:r>
      <w:r>
        <w:t>ori are employed compared to 68 percent of their non-disabled peers.</w:t>
      </w:r>
      <w:r w:rsidR="00D92D5C">
        <w:rPr>
          <w:rStyle w:val="FootnoteReference"/>
        </w:rPr>
        <w:footnoteReference w:id="11"/>
      </w:r>
      <w:r>
        <w:t xml:space="preserve">  </w:t>
      </w:r>
    </w:p>
    <w:p w14:paraId="2B5D7D98" w14:textId="356EC1CF" w:rsidR="007718E9" w:rsidRDefault="007718E9" w:rsidP="00804C04">
      <w:pPr>
        <w:pStyle w:val="RecLevel1"/>
      </w:pPr>
      <w:r>
        <w:t>The employment data,</w:t>
      </w:r>
      <w:r w:rsidR="00EA303E">
        <w:t xml:space="preserve"> as the table below indicates</w:t>
      </w:r>
      <w:r>
        <w:t>, also points to the intersection of disability and gender.</w:t>
      </w:r>
    </w:p>
    <w:p w14:paraId="0879A084" w14:textId="77777777" w:rsidR="00D85A46" w:rsidRDefault="00D85A46" w:rsidP="00D85A46">
      <w:pPr>
        <w:pStyle w:val="RecLevel1"/>
        <w:numPr>
          <w:ilvl w:val="0"/>
          <w:numId w:val="0"/>
        </w:numPr>
        <w:ind w:left="567" w:hanging="567"/>
      </w:pPr>
    </w:p>
    <w:p w14:paraId="3D0F9C2E" w14:textId="77777777" w:rsidR="00D85A46" w:rsidRDefault="00D85A46" w:rsidP="00D85A46">
      <w:pPr>
        <w:pStyle w:val="RecLevel1"/>
        <w:numPr>
          <w:ilvl w:val="0"/>
          <w:numId w:val="0"/>
        </w:numPr>
        <w:ind w:left="567" w:hanging="567"/>
      </w:pPr>
    </w:p>
    <w:p w14:paraId="1AE75B58" w14:textId="77777777" w:rsidR="00D85A46" w:rsidRDefault="00D85A46" w:rsidP="00D85A46">
      <w:pPr>
        <w:pStyle w:val="RecLevel1"/>
        <w:numPr>
          <w:ilvl w:val="0"/>
          <w:numId w:val="0"/>
        </w:numPr>
        <w:ind w:left="567" w:hanging="567"/>
      </w:pPr>
    </w:p>
    <w:p w14:paraId="38A7EF26" w14:textId="77777777" w:rsidR="00D85A46" w:rsidRDefault="00D85A46" w:rsidP="00D85A46">
      <w:pPr>
        <w:pStyle w:val="RecLevel1"/>
        <w:numPr>
          <w:ilvl w:val="0"/>
          <w:numId w:val="0"/>
        </w:numPr>
        <w:ind w:left="567" w:hanging="567"/>
      </w:pPr>
    </w:p>
    <w:p w14:paraId="1D8E56C7" w14:textId="77777777" w:rsidR="00D85A46" w:rsidRDefault="00D85A46" w:rsidP="00D85A46">
      <w:pPr>
        <w:pStyle w:val="RecLevel1"/>
        <w:numPr>
          <w:ilvl w:val="0"/>
          <w:numId w:val="0"/>
        </w:numPr>
        <w:ind w:left="567" w:hanging="567"/>
      </w:pPr>
    </w:p>
    <w:p w14:paraId="78A3DF30" w14:textId="77777777" w:rsidR="00D85A46" w:rsidRDefault="00D85A46" w:rsidP="00D85A46">
      <w:pPr>
        <w:pStyle w:val="RecLevel1"/>
        <w:numPr>
          <w:ilvl w:val="0"/>
          <w:numId w:val="0"/>
        </w:numPr>
        <w:ind w:left="567" w:hanging="567"/>
      </w:pPr>
    </w:p>
    <w:p w14:paraId="41B63EE8" w14:textId="77777777" w:rsidR="00D85A46" w:rsidRDefault="00D85A46" w:rsidP="00D85A46">
      <w:pPr>
        <w:pStyle w:val="RecLevel1"/>
        <w:numPr>
          <w:ilvl w:val="0"/>
          <w:numId w:val="0"/>
        </w:numPr>
        <w:ind w:left="567" w:hanging="567"/>
      </w:pPr>
    </w:p>
    <w:p w14:paraId="3CA7F441" w14:textId="1A5446B3" w:rsidR="007718E9" w:rsidRPr="00855630" w:rsidRDefault="007718E9" w:rsidP="007718E9">
      <w:pPr>
        <w:rPr>
          <w:b/>
        </w:rPr>
      </w:pPr>
      <w:r>
        <w:rPr>
          <w:b/>
        </w:rPr>
        <w:lastRenderedPageBreak/>
        <w:t>Table 1</w:t>
      </w:r>
      <w:r w:rsidR="00375321">
        <w:rPr>
          <w:b/>
        </w:rPr>
        <w:t xml:space="preserve">: </w:t>
      </w:r>
      <w:r>
        <w:rPr>
          <w:b/>
        </w:rPr>
        <w:t xml:space="preserve">Employment status of disabled and non-disabled women and disabled </w:t>
      </w:r>
      <w:r w:rsidR="007E5954">
        <w:rPr>
          <w:b/>
        </w:rPr>
        <w:t>and non-disabled men</w:t>
      </w:r>
    </w:p>
    <w:tbl>
      <w:tblPr>
        <w:tblStyle w:val="TableGrid"/>
        <w:tblW w:w="0" w:type="auto"/>
        <w:tblLook w:val="04A0" w:firstRow="1" w:lastRow="0" w:firstColumn="1" w:lastColumn="0" w:noHBand="0" w:noVBand="1"/>
      </w:tblPr>
      <w:tblGrid>
        <w:gridCol w:w="2000"/>
        <w:gridCol w:w="1901"/>
        <w:gridCol w:w="1901"/>
        <w:gridCol w:w="1896"/>
        <w:gridCol w:w="1698"/>
      </w:tblGrid>
      <w:tr w:rsidR="00E5339F" w14:paraId="45471AFD" w14:textId="69227800" w:rsidTr="00E5339F">
        <w:tc>
          <w:tcPr>
            <w:tcW w:w="2000" w:type="dxa"/>
          </w:tcPr>
          <w:p w14:paraId="125238C2" w14:textId="77777777" w:rsidR="00E5339F" w:rsidRDefault="00E5339F" w:rsidP="004124A4">
            <w:r>
              <w:t>Employment</w:t>
            </w:r>
          </w:p>
        </w:tc>
        <w:tc>
          <w:tcPr>
            <w:tcW w:w="1901" w:type="dxa"/>
          </w:tcPr>
          <w:p w14:paraId="77582777" w14:textId="77777777" w:rsidR="00E5339F" w:rsidRDefault="00E5339F" w:rsidP="004124A4">
            <w:r>
              <w:t>Disabled women</w:t>
            </w:r>
          </w:p>
        </w:tc>
        <w:tc>
          <w:tcPr>
            <w:tcW w:w="1901" w:type="dxa"/>
          </w:tcPr>
          <w:p w14:paraId="0BEEFAE4" w14:textId="77777777" w:rsidR="00E5339F" w:rsidRDefault="00E5339F" w:rsidP="004124A4">
            <w:r>
              <w:t>Disabled men</w:t>
            </w:r>
          </w:p>
        </w:tc>
        <w:tc>
          <w:tcPr>
            <w:tcW w:w="1896" w:type="dxa"/>
          </w:tcPr>
          <w:p w14:paraId="6A1BBDA4" w14:textId="77777777" w:rsidR="00E5339F" w:rsidRDefault="00E5339F" w:rsidP="004124A4">
            <w:r>
              <w:t>Non-disabled women</w:t>
            </w:r>
          </w:p>
        </w:tc>
        <w:tc>
          <w:tcPr>
            <w:tcW w:w="1698" w:type="dxa"/>
          </w:tcPr>
          <w:p w14:paraId="6A627D60" w14:textId="2ABF7CA4" w:rsidR="00E5339F" w:rsidRDefault="00E5339F" w:rsidP="004124A4">
            <w:r>
              <w:t>Non-disabled men</w:t>
            </w:r>
          </w:p>
        </w:tc>
      </w:tr>
      <w:tr w:rsidR="00E5339F" w14:paraId="5CBA3B5B" w14:textId="5F70C2DC" w:rsidTr="00E5339F">
        <w:tc>
          <w:tcPr>
            <w:tcW w:w="2000" w:type="dxa"/>
          </w:tcPr>
          <w:p w14:paraId="53E330A7" w14:textId="77777777" w:rsidR="00E5339F" w:rsidRDefault="00E5339F" w:rsidP="004124A4">
            <w:r>
              <w:t>Full-time employed</w:t>
            </w:r>
          </w:p>
        </w:tc>
        <w:tc>
          <w:tcPr>
            <w:tcW w:w="1901" w:type="dxa"/>
          </w:tcPr>
          <w:p w14:paraId="4DCE6137" w14:textId="77777777" w:rsidR="00E5339F" w:rsidRDefault="00E5339F" w:rsidP="004124A4">
            <w:r>
              <w:t>24%</w:t>
            </w:r>
          </w:p>
        </w:tc>
        <w:tc>
          <w:tcPr>
            <w:tcW w:w="1901" w:type="dxa"/>
          </w:tcPr>
          <w:p w14:paraId="01746010" w14:textId="77777777" w:rsidR="00E5339F" w:rsidRDefault="00E5339F" w:rsidP="004124A4">
            <w:r>
              <w:t>40%</w:t>
            </w:r>
          </w:p>
        </w:tc>
        <w:tc>
          <w:tcPr>
            <w:tcW w:w="1896" w:type="dxa"/>
          </w:tcPr>
          <w:p w14:paraId="6895FA8F" w14:textId="77777777" w:rsidR="00E5339F" w:rsidRDefault="00E5339F" w:rsidP="004124A4">
            <w:r>
              <w:t>44%</w:t>
            </w:r>
          </w:p>
        </w:tc>
        <w:tc>
          <w:tcPr>
            <w:tcW w:w="1698" w:type="dxa"/>
          </w:tcPr>
          <w:p w14:paraId="03F05CD9" w14:textId="7FF370F6" w:rsidR="00E5339F" w:rsidRDefault="00180C51" w:rsidP="00180C51">
            <w:pPr>
              <w:spacing w:line="360" w:lineRule="auto"/>
            </w:pPr>
            <w:r>
              <w:t>68%</w:t>
            </w:r>
          </w:p>
        </w:tc>
      </w:tr>
      <w:tr w:rsidR="00E5339F" w14:paraId="3784CE7C" w14:textId="3726AC07" w:rsidTr="00E5339F">
        <w:tc>
          <w:tcPr>
            <w:tcW w:w="2000" w:type="dxa"/>
          </w:tcPr>
          <w:p w14:paraId="6F83FD94" w14:textId="77777777" w:rsidR="00E5339F" w:rsidRDefault="00E5339F" w:rsidP="004124A4">
            <w:r>
              <w:t>Part-time employed</w:t>
            </w:r>
          </w:p>
        </w:tc>
        <w:tc>
          <w:tcPr>
            <w:tcW w:w="1901" w:type="dxa"/>
          </w:tcPr>
          <w:p w14:paraId="35A409B5" w14:textId="77777777" w:rsidR="00E5339F" w:rsidRDefault="00E5339F" w:rsidP="004124A4">
            <w:r>
              <w:t>17%</w:t>
            </w:r>
          </w:p>
        </w:tc>
        <w:tc>
          <w:tcPr>
            <w:tcW w:w="1901" w:type="dxa"/>
          </w:tcPr>
          <w:p w14:paraId="711530CE" w14:textId="41C8B26E" w:rsidR="00E5339F" w:rsidRDefault="00E5339F" w:rsidP="00E452FB">
            <w:r>
              <w:t>9%</w:t>
            </w:r>
          </w:p>
        </w:tc>
        <w:tc>
          <w:tcPr>
            <w:tcW w:w="1896" w:type="dxa"/>
          </w:tcPr>
          <w:p w14:paraId="54FE36B0" w14:textId="4B71F143" w:rsidR="00E5339F" w:rsidRDefault="00E5339F" w:rsidP="00E452FB">
            <w:r>
              <w:t>22%</w:t>
            </w:r>
          </w:p>
        </w:tc>
        <w:tc>
          <w:tcPr>
            <w:tcW w:w="1698" w:type="dxa"/>
          </w:tcPr>
          <w:p w14:paraId="61A24F0C" w14:textId="3C2E2163" w:rsidR="00E5339F" w:rsidRDefault="007E5954" w:rsidP="007E5954">
            <w:pPr>
              <w:spacing w:line="360" w:lineRule="auto"/>
            </w:pPr>
            <w:r>
              <w:t>9%</w:t>
            </w:r>
          </w:p>
        </w:tc>
      </w:tr>
    </w:tbl>
    <w:p w14:paraId="7CF24EFF" w14:textId="7A97BC7F" w:rsidR="007718E9" w:rsidRDefault="007718E9" w:rsidP="00266833">
      <w:pPr>
        <w:pStyle w:val="RecLevel1"/>
      </w:pPr>
      <w:r>
        <w:t>The percentage of disabled women in full-time employment is 20 percent</w:t>
      </w:r>
      <w:r w:rsidR="00E452FB">
        <w:t>age points</w:t>
      </w:r>
      <w:r>
        <w:t xml:space="preserve"> and 16 percent</w:t>
      </w:r>
      <w:r w:rsidR="00E452FB">
        <w:t>age points</w:t>
      </w:r>
      <w:r>
        <w:t xml:space="preserve"> less than for non-disabled women and disabled men respectively.</w:t>
      </w:r>
    </w:p>
    <w:p w14:paraId="76CD98AD" w14:textId="6D41863B" w:rsidR="00F949BD" w:rsidRPr="00F949BD" w:rsidRDefault="003914B9" w:rsidP="00F949BD">
      <w:pPr>
        <w:pStyle w:val="Heading4"/>
        <w:rPr>
          <w:lang w:val="en-NZ"/>
        </w:rPr>
      </w:pPr>
      <w:r>
        <w:rPr>
          <w:lang w:val="en-NZ"/>
        </w:rPr>
        <w:t>Although d</w:t>
      </w:r>
      <w:r w:rsidR="00F949BD">
        <w:rPr>
          <w:lang w:val="en-NZ"/>
        </w:rPr>
        <w:t>isabled people are concerned about various issues in the workplace</w:t>
      </w:r>
      <w:r w:rsidR="00D42F1A">
        <w:rPr>
          <w:lang w:val="en-NZ"/>
        </w:rPr>
        <w:t xml:space="preserve">, </w:t>
      </w:r>
      <w:r>
        <w:rPr>
          <w:lang w:val="en-NZ"/>
        </w:rPr>
        <w:t>employed disabled people</w:t>
      </w:r>
      <w:r w:rsidR="00983CD5">
        <w:rPr>
          <w:lang w:val="en-NZ"/>
        </w:rPr>
        <w:t xml:space="preserve"> express a good level of job satisfaction</w:t>
      </w:r>
      <w:r>
        <w:rPr>
          <w:lang w:val="en-NZ"/>
        </w:rPr>
        <w:t xml:space="preserve"> </w:t>
      </w:r>
    </w:p>
    <w:p w14:paraId="4867116B" w14:textId="77777777" w:rsidR="007718E9" w:rsidRDefault="007718E9" w:rsidP="00266833">
      <w:pPr>
        <w:pStyle w:val="RecLevel1"/>
      </w:pPr>
      <w:r>
        <w:t>Issues raised by employed disabled people in the Disability Survey include: the difficulties and limitations encountered in the workplace, workplace modifications and the need to change jobs. For example:</w:t>
      </w:r>
    </w:p>
    <w:p w14:paraId="3514175B" w14:textId="4F0ABCAD" w:rsidR="007718E9" w:rsidRPr="00573934" w:rsidRDefault="007718E9" w:rsidP="001427D2">
      <w:pPr>
        <w:pStyle w:val="Bullet1"/>
      </w:pPr>
      <w:r w:rsidRPr="00573934">
        <w:t>Disabled worke</w:t>
      </w:r>
      <w:r>
        <w:t>rs with agility impairments are</w:t>
      </w:r>
      <w:r w:rsidRPr="00573934">
        <w:t xml:space="preserve"> more than twice as likely to experience difficulties with tasks or duties (51 percent</w:t>
      </w:r>
      <w:r w:rsidR="00D37BB7">
        <w:t>) as those with hearing or vision</w:t>
      </w:r>
      <w:r w:rsidRPr="00573934">
        <w:t xml:space="preserve"> impairments (24 percent).</w:t>
      </w:r>
    </w:p>
    <w:p w14:paraId="5ED0BD99" w14:textId="51619B57" w:rsidR="007718E9" w:rsidRDefault="007718E9" w:rsidP="001427D2">
      <w:pPr>
        <w:pStyle w:val="Bullet1"/>
      </w:pPr>
      <w:r w:rsidRPr="00573934">
        <w:t>Limitations in the ability to carry out tasks and duties and in the number of hours they could work</w:t>
      </w:r>
      <w:r>
        <w:t xml:space="preserve"> are</w:t>
      </w:r>
      <w:r w:rsidRPr="00573934">
        <w:t xml:space="preserve"> more common among disabled workers aged 45 </w:t>
      </w:r>
      <w:r w:rsidR="00886E74">
        <w:t>to 64 than younger adults.</w:t>
      </w:r>
      <w:r w:rsidRPr="00573934">
        <w:t xml:space="preserve"> </w:t>
      </w:r>
    </w:p>
    <w:p w14:paraId="090671A0" w14:textId="3429D50F" w:rsidR="007718E9" w:rsidRDefault="0049094C" w:rsidP="00266833">
      <w:pPr>
        <w:pStyle w:val="RecLevel1"/>
        <w:rPr>
          <w:lang w:eastAsia="en-US"/>
        </w:rPr>
      </w:pPr>
      <w:r>
        <w:rPr>
          <w:lang w:eastAsia="en-US"/>
        </w:rPr>
        <w:t>T</w:t>
      </w:r>
      <w:r w:rsidR="007718E9">
        <w:rPr>
          <w:lang w:eastAsia="en-US"/>
        </w:rPr>
        <w:t xml:space="preserve">he Disability Survey </w:t>
      </w:r>
      <w:r>
        <w:rPr>
          <w:lang w:eastAsia="en-US"/>
        </w:rPr>
        <w:t>identified some</w:t>
      </w:r>
      <w:r w:rsidR="007718E9">
        <w:rPr>
          <w:lang w:eastAsia="en-US"/>
        </w:rPr>
        <w:t xml:space="preserve"> issues </w:t>
      </w:r>
      <w:r>
        <w:rPr>
          <w:lang w:eastAsia="en-US"/>
        </w:rPr>
        <w:t xml:space="preserve">faced by </w:t>
      </w:r>
      <w:r w:rsidR="007718E9">
        <w:rPr>
          <w:lang w:eastAsia="en-US"/>
        </w:rPr>
        <w:t>unemployed disabled people includ</w:t>
      </w:r>
      <w:r>
        <w:rPr>
          <w:lang w:eastAsia="en-US"/>
        </w:rPr>
        <w:t>ing</w:t>
      </w:r>
      <w:r w:rsidR="007718E9">
        <w:rPr>
          <w:lang w:eastAsia="en-US"/>
        </w:rPr>
        <w:t xml:space="preserve">: </w:t>
      </w:r>
      <w:r>
        <w:rPr>
          <w:lang w:eastAsia="en-US"/>
        </w:rPr>
        <w:t xml:space="preserve">an unmet </w:t>
      </w:r>
      <w:r w:rsidR="007718E9">
        <w:rPr>
          <w:lang w:eastAsia="en-US"/>
        </w:rPr>
        <w:t>desire to work, the limitations of</w:t>
      </w:r>
      <w:r w:rsidR="00836CAB">
        <w:rPr>
          <w:lang w:eastAsia="en-US"/>
        </w:rPr>
        <w:t xml:space="preserve"> a</w:t>
      </w:r>
      <w:r w:rsidR="007718E9">
        <w:rPr>
          <w:lang w:eastAsia="en-US"/>
        </w:rPr>
        <w:t xml:space="preserve"> condition or health problem on the kind and amount of work</w:t>
      </w:r>
      <w:r w:rsidR="00AA6EDC">
        <w:rPr>
          <w:lang w:eastAsia="en-US"/>
        </w:rPr>
        <w:t xml:space="preserve"> people</w:t>
      </w:r>
      <w:r w:rsidR="007718E9">
        <w:rPr>
          <w:lang w:eastAsia="en-US"/>
        </w:rPr>
        <w:t xml:space="preserve"> can do, and </w:t>
      </w:r>
      <w:r>
        <w:rPr>
          <w:lang w:eastAsia="en-US"/>
        </w:rPr>
        <w:t xml:space="preserve">a need for </w:t>
      </w:r>
      <w:r w:rsidR="007718E9">
        <w:rPr>
          <w:lang w:eastAsia="en-US"/>
        </w:rPr>
        <w:t>workplace modifications. For example:</w:t>
      </w:r>
    </w:p>
    <w:p w14:paraId="5741AED6" w14:textId="77777777" w:rsidR="007718E9" w:rsidRDefault="007718E9" w:rsidP="001427D2">
      <w:pPr>
        <w:pStyle w:val="Bullet1"/>
      </w:pPr>
      <w:r>
        <w:t>Three-quarters of unemployed disabled people aged 15-64 state that they would like to work, if a job was available.</w:t>
      </w:r>
    </w:p>
    <w:p w14:paraId="0DDD2BED" w14:textId="77777777" w:rsidR="007718E9" w:rsidRDefault="007718E9" w:rsidP="001427D2">
      <w:pPr>
        <w:pStyle w:val="Bullet1"/>
      </w:pPr>
      <w:r>
        <w:t>Of disabled people aged 15-64, who were not working but had looked for work in the previous four weeks, 13 percent said they would require a work area with modifications.</w:t>
      </w:r>
    </w:p>
    <w:p w14:paraId="78EAD0F3" w14:textId="77777777" w:rsidR="007718E9" w:rsidRDefault="007718E9" w:rsidP="00266833">
      <w:pPr>
        <w:pStyle w:val="RecLevel1"/>
        <w:rPr>
          <w:lang w:eastAsia="en-US"/>
        </w:rPr>
      </w:pPr>
      <w:r>
        <w:rPr>
          <w:lang w:eastAsia="en-US"/>
        </w:rPr>
        <w:t>Views about employment expressed by the disabled participants in the Convention Coalition research (2010, 2012) are consistent with the Disability Survey data. Lack of accommodation for the daily reality of living with an impairment and r</w:t>
      </w:r>
      <w:r w:rsidR="00D74290">
        <w:rPr>
          <w:lang w:eastAsia="en-US"/>
        </w:rPr>
        <w:t>igid workplace policies feature</w:t>
      </w:r>
      <w:r>
        <w:rPr>
          <w:lang w:eastAsia="en-US"/>
        </w:rPr>
        <w:t xml:space="preserve"> in many of the interviews. Many of the disabled people interviewed want to work part-time. </w:t>
      </w:r>
    </w:p>
    <w:p w14:paraId="635F00C6" w14:textId="24BD0568" w:rsidR="007718E9" w:rsidRPr="008D3DA2" w:rsidRDefault="006A59CB" w:rsidP="00266833">
      <w:pPr>
        <w:pStyle w:val="RecLevel1"/>
        <w:rPr>
          <w:lang w:eastAsia="en-US"/>
        </w:rPr>
      </w:pPr>
      <w:r>
        <w:rPr>
          <w:lang w:eastAsia="en-US"/>
        </w:rPr>
        <w:t xml:space="preserve">One participant declared: </w:t>
      </w:r>
      <w:r w:rsidR="00705C66">
        <w:rPr>
          <w:lang w:eastAsia="en-US"/>
        </w:rPr>
        <w:t>‘</w:t>
      </w:r>
      <w:r w:rsidR="007718E9">
        <w:rPr>
          <w:lang w:eastAsia="en-US"/>
        </w:rPr>
        <w:t>When I was appointed to the job I was expected to be regularly in the office. This was something I hadn’t been expecting … But because I find regular hours very difficult to keep to now, it was very difficult</w:t>
      </w:r>
      <w:r w:rsidR="00396E8B">
        <w:rPr>
          <w:lang w:eastAsia="en-US"/>
        </w:rPr>
        <w:t xml:space="preserve"> to be “on song”</w:t>
      </w:r>
      <w:r w:rsidR="007718E9">
        <w:rPr>
          <w:lang w:eastAsia="en-US"/>
        </w:rPr>
        <w:t xml:space="preserve"> for the same 8 hours every day, that became quite stressful.</w:t>
      </w:r>
      <w:r w:rsidR="00705C66">
        <w:rPr>
          <w:lang w:eastAsia="en-US"/>
        </w:rPr>
        <w:t>’</w:t>
      </w:r>
      <w:r w:rsidR="007718E9">
        <w:rPr>
          <w:lang w:eastAsia="en-US"/>
        </w:rPr>
        <w:t xml:space="preserve"> </w:t>
      </w:r>
      <w:r w:rsidR="007718E9" w:rsidRPr="008D3DA2">
        <w:rPr>
          <w:lang w:eastAsia="en-US"/>
        </w:rPr>
        <w:t xml:space="preserve">(2010:55-56) </w:t>
      </w:r>
    </w:p>
    <w:p w14:paraId="4EAD8791" w14:textId="77777777" w:rsidR="007718E9" w:rsidRPr="00B46425" w:rsidRDefault="007718E9" w:rsidP="00266833">
      <w:pPr>
        <w:pStyle w:val="RecLevel1"/>
        <w:rPr>
          <w:lang w:eastAsia="en-US"/>
        </w:rPr>
      </w:pPr>
      <w:r>
        <w:rPr>
          <w:lang w:eastAsia="en-US"/>
        </w:rPr>
        <w:t>The Disability Survey estimated that almost one-third of disabled adults in employment work part-time (less than 30 hours per week).</w:t>
      </w:r>
    </w:p>
    <w:p w14:paraId="7236A522" w14:textId="476A8809" w:rsidR="007718E9" w:rsidRDefault="007718E9" w:rsidP="00266833">
      <w:pPr>
        <w:pStyle w:val="RecLevel1"/>
        <w:rPr>
          <w:lang w:eastAsia="en-US"/>
        </w:rPr>
      </w:pPr>
      <w:r>
        <w:rPr>
          <w:lang w:eastAsia="en-US"/>
        </w:rPr>
        <w:t>Given the issues raised by disabled people about em</w:t>
      </w:r>
      <w:r w:rsidR="00940D74">
        <w:rPr>
          <w:lang w:eastAsia="en-US"/>
        </w:rPr>
        <w:t xml:space="preserve">ployment, the table below </w:t>
      </w:r>
      <w:r>
        <w:rPr>
          <w:lang w:eastAsia="en-US"/>
        </w:rPr>
        <w:t>demonstrates a good level of job satisfaction among employed disabled workers.</w:t>
      </w:r>
    </w:p>
    <w:p w14:paraId="07981789" w14:textId="77777777" w:rsidR="00D85A46" w:rsidRDefault="00D85A46" w:rsidP="00D85A46">
      <w:pPr>
        <w:pStyle w:val="RecLevel1"/>
        <w:numPr>
          <w:ilvl w:val="0"/>
          <w:numId w:val="0"/>
        </w:numPr>
        <w:ind w:left="567" w:hanging="567"/>
        <w:rPr>
          <w:lang w:eastAsia="en-US"/>
        </w:rPr>
      </w:pPr>
    </w:p>
    <w:p w14:paraId="70CBA0A8" w14:textId="77777777" w:rsidR="00D85A46" w:rsidRDefault="00D85A46" w:rsidP="00D85A46">
      <w:pPr>
        <w:pStyle w:val="RecLevel1"/>
        <w:numPr>
          <w:ilvl w:val="0"/>
          <w:numId w:val="0"/>
        </w:numPr>
        <w:ind w:left="567" w:hanging="567"/>
        <w:rPr>
          <w:lang w:eastAsia="en-US"/>
        </w:rPr>
      </w:pPr>
    </w:p>
    <w:p w14:paraId="4EDF4E95" w14:textId="77777777" w:rsidR="00D85A46" w:rsidRDefault="00D85A46" w:rsidP="00D85A46">
      <w:pPr>
        <w:pStyle w:val="RecLevel1"/>
        <w:numPr>
          <w:ilvl w:val="0"/>
          <w:numId w:val="0"/>
        </w:numPr>
        <w:ind w:left="567" w:hanging="567"/>
        <w:rPr>
          <w:lang w:eastAsia="en-US"/>
        </w:rPr>
      </w:pPr>
    </w:p>
    <w:p w14:paraId="3569F2ED" w14:textId="77777777" w:rsidR="00D42F1A" w:rsidRDefault="007718E9" w:rsidP="00B91E84">
      <w:pPr>
        <w:pStyle w:val="BodyText1"/>
        <w:rPr>
          <w:b/>
          <w:szCs w:val="20"/>
        </w:rPr>
      </w:pPr>
      <w:r>
        <w:rPr>
          <w:rFonts w:ascii="Verdana" w:hAnsi="Verdana"/>
          <w:b/>
          <w:sz w:val="20"/>
          <w:szCs w:val="20"/>
          <w:lang w:val="en-NZ" w:eastAsia="en-US"/>
        </w:rPr>
        <w:t>Table 2</w:t>
      </w:r>
      <w:r w:rsidR="00B91E84">
        <w:rPr>
          <w:rFonts w:ascii="Verdana" w:hAnsi="Verdana"/>
          <w:b/>
          <w:sz w:val="20"/>
          <w:szCs w:val="20"/>
          <w:lang w:val="en-NZ" w:eastAsia="en-US"/>
        </w:rPr>
        <w:t xml:space="preserve">: </w:t>
      </w:r>
      <w:r>
        <w:rPr>
          <w:b/>
          <w:szCs w:val="20"/>
        </w:rPr>
        <w:t>Job satisfaction among employed disabled workers</w:t>
      </w:r>
    </w:p>
    <w:tbl>
      <w:tblPr>
        <w:tblStyle w:val="TableGrid"/>
        <w:tblW w:w="5000" w:type="pct"/>
        <w:tblLook w:val="04A0" w:firstRow="1" w:lastRow="0" w:firstColumn="1" w:lastColumn="0" w:noHBand="0" w:noVBand="1"/>
      </w:tblPr>
      <w:tblGrid>
        <w:gridCol w:w="4362"/>
        <w:gridCol w:w="1678"/>
        <w:gridCol w:w="1678"/>
        <w:gridCol w:w="1678"/>
      </w:tblGrid>
      <w:tr w:rsidR="007718E9" w14:paraId="5A0CFF17" w14:textId="77777777" w:rsidTr="008A2ABC">
        <w:tc>
          <w:tcPr>
            <w:tcW w:w="2321" w:type="pct"/>
          </w:tcPr>
          <w:p w14:paraId="3C994564" w14:textId="77777777" w:rsidR="007718E9" w:rsidRDefault="007718E9" w:rsidP="004124A4">
            <w:r>
              <w:t>Job satisfaction on a scale of 0 to 10 (where 0 is very dissatisfied and 10 is very satisfied)</w:t>
            </w:r>
          </w:p>
        </w:tc>
        <w:tc>
          <w:tcPr>
            <w:tcW w:w="893" w:type="pct"/>
          </w:tcPr>
          <w:p w14:paraId="5F07D841" w14:textId="77777777" w:rsidR="007718E9" w:rsidRDefault="007718E9" w:rsidP="004124A4">
            <w:r>
              <w:t>8 or higher</w:t>
            </w:r>
          </w:p>
        </w:tc>
        <w:tc>
          <w:tcPr>
            <w:tcW w:w="893" w:type="pct"/>
          </w:tcPr>
          <w:p w14:paraId="4B002807" w14:textId="77777777" w:rsidR="007718E9" w:rsidRDefault="007718E9" w:rsidP="004124A4">
            <w:r>
              <w:t>5 – 7.9</w:t>
            </w:r>
          </w:p>
        </w:tc>
        <w:tc>
          <w:tcPr>
            <w:tcW w:w="893" w:type="pct"/>
          </w:tcPr>
          <w:p w14:paraId="600C7C64" w14:textId="77777777" w:rsidR="007718E9" w:rsidRDefault="007718E9" w:rsidP="004124A4">
            <w:r>
              <w:t>Below 5</w:t>
            </w:r>
          </w:p>
        </w:tc>
      </w:tr>
      <w:tr w:rsidR="007718E9" w14:paraId="7FCBCCB2" w14:textId="77777777" w:rsidTr="008A2ABC">
        <w:tc>
          <w:tcPr>
            <w:tcW w:w="2321" w:type="pct"/>
          </w:tcPr>
          <w:p w14:paraId="3FA2EB60" w14:textId="5CF1A1ED" w:rsidR="007718E9" w:rsidRDefault="007718E9" w:rsidP="00AA6EDC">
            <w:r>
              <w:t xml:space="preserve">Employed disabled </w:t>
            </w:r>
            <w:r w:rsidR="00AA6EDC">
              <w:t>people</w:t>
            </w:r>
          </w:p>
        </w:tc>
        <w:tc>
          <w:tcPr>
            <w:tcW w:w="893" w:type="pct"/>
          </w:tcPr>
          <w:p w14:paraId="682C896E" w14:textId="77777777" w:rsidR="007718E9" w:rsidRDefault="007718E9" w:rsidP="004124A4">
            <w:r>
              <w:t>55%</w:t>
            </w:r>
          </w:p>
        </w:tc>
        <w:tc>
          <w:tcPr>
            <w:tcW w:w="893" w:type="pct"/>
          </w:tcPr>
          <w:p w14:paraId="0FA12CB6" w14:textId="3CDDE713" w:rsidR="007718E9" w:rsidRDefault="00AA6EDC" w:rsidP="004124A4">
            <w:r>
              <w:t>36</w:t>
            </w:r>
            <w:r w:rsidR="007718E9">
              <w:t>%</w:t>
            </w:r>
          </w:p>
        </w:tc>
        <w:tc>
          <w:tcPr>
            <w:tcW w:w="893" w:type="pct"/>
          </w:tcPr>
          <w:p w14:paraId="353CFD3D" w14:textId="77777777" w:rsidR="007718E9" w:rsidRDefault="007718E9" w:rsidP="004124A4">
            <w:r>
              <w:t>9%</w:t>
            </w:r>
          </w:p>
        </w:tc>
      </w:tr>
      <w:tr w:rsidR="00AA6EDC" w14:paraId="06993870" w14:textId="77777777" w:rsidTr="008A2ABC">
        <w:tc>
          <w:tcPr>
            <w:tcW w:w="2321" w:type="pct"/>
          </w:tcPr>
          <w:p w14:paraId="4336EBD2" w14:textId="67542E10" w:rsidR="00AA6EDC" w:rsidRDefault="00AA6EDC" w:rsidP="004124A4">
            <w:r>
              <w:t>Employed non-disabled people</w:t>
            </w:r>
          </w:p>
        </w:tc>
        <w:tc>
          <w:tcPr>
            <w:tcW w:w="893" w:type="pct"/>
          </w:tcPr>
          <w:p w14:paraId="2D01B0D4" w14:textId="4F06814B" w:rsidR="00AA6EDC" w:rsidRDefault="00AA6EDC" w:rsidP="004124A4">
            <w:r>
              <w:t>64%</w:t>
            </w:r>
          </w:p>
        </w:tc>
        <w:tc>
          <w:tcPr>
            <w:tcW w:w="893" w:type="pct"/>
          </w:tcPr>
          <w:p w14:paraId="34E9912E" w14:textId="479AFF53" w:rsidR="00AA6EDC" w:rsidRDefault="00AA6EDC" w:rsidP="004124A4">
            <w:r>
              <w:t>33%</w:t>
            </w:r>
          </w:p>
        </w:tc>
        <w:tc>
          <w:tcPr>
            <w:tcW w:w="893" w:type="pct"/>
          </w:tcPr>
          <w:p w14:paraId="7F735538" w14:textId="2041EE44" w:rsidR="00AA6EDC" w:rsidRDefault="00AA6EDC" w:rsidP="004124A4">
            <w:r>
              <w:t>3%</w:t>
            </w:r>
          </w:p>
        </w:tc>
      </w:tr>
    </w:tbl>
    <w:p w14:paraId="681B80D8" w14:textId="77777777" w:rsidR="00D814AD" w:rsidRDefault="00D814AD" w:rsidP="00B91E84">
      <w:pPr>
        <w:pStyle w:val="Heading4"/>
        <w:rPr>
          <w:lang w:val="en-NZ"/>
        </w:rPr>
      </w:pPr>
    </w:p>
    <w:p w14:paraId="4878CA11" w14:textId="77777777" w:rsidR="007718E9" w:rsidRDefault="007667BB" w:rsidP="00B91E84">
      <w:pPr>
        <w:pStyle w:val="Heading4"/>
        <w:rPr>
          <w:lang w:val="en-NZ"/>
        </w:rPr>
      </w:pPr>
      <w:r>
        <w:rPr>
          <w:lang w:val="en-NZ"/>
        </w:rPr>
        <w:t>Disabled people are less likely to have educational qualifications compared to non-disabled people</w:t>
      </w:r>
    </w:p>
    <w:p w14:paraId="5CECBC53" w14:textId="77777777" w:rsidR="00201B7D" w:rsidRPr="00F36DFA" w:rsidRDefault="00201B7D" w:rsidP="00FD1E79">
      <w:pPr>
        <w:pStyle w:val="RecLevel1"/>
      </w:pPr>
      <w:r w:rsidRPr="00F36DFA">
        <w:t>Summary</w:t>
      </w:r>
    </w:p>
    <w:p w14:paraId="0101A74E" w14:textId="77777777" w:rsidR="00201B7D" w:rsidRDefault="00201B7D" w:rsidP="00201B7D">
      <w:pPr>
        <w:pStyle w:val="Bullet1"/>
      </w:pPr>
      <w:r>
        <w:t>Disabled people tend to be less well-educated than non-disabled people.</w:t>
      </w:r>
    </w:p>
    <w:p w14:paraId="377C0512" w14:textId="3C47A599" w:rsidR="00201B7D" w:rsidRDefault="00201B7D" w:rsidP="00201B7D">
      <w:pPr>
        <w:pStyle w:val="Bullet1"/>
      </w:pPr>
      <w:r>
        <w:t>Among M</w:t>
      </w:r>
      <w:r>
        <w:rPr>
          <w:rFonts w:ascii="Arial" w:hAnsi="Arial"/>
        </w:rPr>
        <w:t>ā</w:t>
      </w:r>
      <w:r>
        <w:t xml:space="preserve">ori, disability is a factor in </w:t>
      </w:r>
      <w:r w:rsidR="007734DE">
        <w:t xml:space="preserve">lower </w:t>
      </w:r>
      <w:r>
        <w:t>educational achievement.</w:t>
      </w:r>
    </w:p>
    <w:p w14:paraId="2BDB640D" w14:textId="77777777" w:rsidR="004D25A0" w:rsidRDefault="00201B7D" w:rsidP="004D25A0">
      <w:pPr>
        <w:pStyle w:val="Bullet1"/>
        <w:tabs>
          <w:tab w:val="num" w:pos="1344"/>
        </w:tabs>
      </w:pPr>
      <w:r>
        <w:t xml:space="preserve">Disabled women’s and men’s low participation in education suggests that their skills and talents are not being fully utilised. </w:t>
      </w:r>
    </w:p>
    <w:p w14:paraId="1A9A03DE" w14:textId="77777777" w:rsidR="004D25A0" w:rsidRDefault="00C11D7C" w:rsidP="00FD1E79">
      <w:pPr>
        <w:pStyle w:val="RecLevel1"/>
      </w:pPr>
      <w:r>
        <w:t>As the table below shows, disabled people have a lower level of educational achievement compared to non-disabled people.</w:t>
      </w:r>
    </w:p>
    <w:p w14:paraId="21931785" w14:textId="77777777" w:rsidR="00596758" w:rsidRDefault="00596758" w:rsidP="00596758">
      <w:pPr>
        <w:pStyle w:val="Bullet1"/>
        <w:numPr>
          <w:ilvl w:val="0"/>
          <w:numId w:val="0"/>
        </w:numPr>
        <w:rPr>
          <w:b/>
        </w:rPr>
      </w:pPr>
      <w:r>
        <w:rPr>
          <w:b/>
        </w:rPr>
        <w:t>Table 3: Level of educational achievement among disabled and non-disabled people</w:t>
      </w:r>
      <w:r w:rsidR="00AD3069">
        <w:rPr>
          <w:b/>
        </w:rPr>
        <w:t xml:space="preserve"> living</w:t>
      </w:r>
      <w:r>
        <w:rPr>
          <w:b/>
        </w:rPr>
        <w:t xml:space="preserve"> in private households</w:t>
      </w:r>
    </w:p>
    <w:tbl>
      <w:tblPr>
        <w:tblStyle w:val="TableGrid"/>
        <w:tblW w:w="0" w:type="auto"/>
        <w:tblLook w:val="04A0" w:firstRow="1" w:lastRow="0" w:firstColumn="1" w:lastColumn="0" w:noHBand="0" w:noVBand="1"/>
      </w:tblPr>
      <w:tblGrid>
        <w:gridCol w:w="3132"/>
        <w:gridCol w:w="3132"/>
        <w:gridCol w:w="3132"/>
      </w:tblGrid>
      <w:tr w:rsidR="00596758" w14:paraId="0ED7C127" w14:textId="77777777" w:rsidTr="00596758">
        <w:tc>
          <w:tcPr>
            <w:tcW w:w="3132" w:type="dxa"/>
          </w:tcPr>
          <w:p w14:paraId="22FA01D0" w14:textId="77777777" w:rsidR="00596758" w:rsidRPr="00596758" w:rsidRDefault="00596758" w:rsidP="00596758">
            <w:pPr>
              <w:pStyle w:val="Bullet1"/>
              <w:numPr>
                <w:ilvl w:val="0"/>
                <w:numId w:val="0"/>
              </w:numPr>
            </w:pPr>
            <w:r>
              <w:t>Level of educational achievement</w:t>
            </w:r>
          </w:p>
        </w:tc>
        <w:tc>
          <w:tcPr>
            <w:tcW w:w="3132" w:type="dxa"/>
          </w:tcPr>
          <w:p w14:paraId="6C2460C0" w14:textId="77777777" w:rsidR="00596758" w:rsidRPr="00596758" w:rsidRDefault="00596758" w:rsidP="00596758">
            <w:pPr>
              <w:pStyle w:val="Bullet1"/>
              <w:numPr>
                <w:ilvl w:val="0"/>
                <w:numId w:val="0"/>
              </w:numPr>
            </w:pPr>
            <w:r>
              <w:t>Disabled people</w:t>
            </w:r>
          </w:p>
        </w:tc>
        <w:tc>
          <w:tcPr>
            <w:tcW w:w="3132" w:type="dxa"/>
          </w:tcPr>
          <w:p w14:paraId="4AA09DEF" w14:textId="77777777" w:rsidR="00596758" w:rsidRPr="00596758" w:rsidRDefault="00596758" w:rsidP="00596758">
            <w:pPr>
              <w:pStyle w:val="Bullet1"/>
              <w:numPr>
                <w:ilvl w:val="0"/>
                <w:numId w:val="0"/>
              </w:numPr>
            </w:pPr>
            <w:r>
              <w:t>Non-disabled people</w:t>
            </w:r>
          </w:p>
        </w:tc>
      </w:tr>
      <w:tr w:rsidR="00596758" w14:paraId="6B0ED0E7" w14:textId="77777777" w:rsidTr="00596758">
        <w:tc>
          <w:tcPr>
            <w:tcW w:w="3132" w:type="dxa"/>
          </w:tcPr>
          <w:p w14:paraId="0619BB28" w14:textId="77777777" w:rsidR="00596758" w:rsidRPr="00C11D7C" w:rsidRDefault="00C11D7C" w:rsidP="00596758">
            <w:pPr>
              <w:pStyle w:val="Bullet1"/>
              <w:numPr>
                <w:ilvl w:val="0"/>
                <w:numId w:val="0"/>
              </w:numPr>
            </w:pPr>
            <w:r>
              <w:t>No educational qualification</w:t>
            </w:r>
          </w:p>
        </w:tc>
        <w:tc>
          <w:tcPr>
            <w:tcW w:w="3132" w:type="dxa"/>
          </w:tcPr>
          <w:p w14:paraId="242D93AC" w14:textId="77777777" w:rsidR="00596758" w:rsidRPr="007B293E" w:rsidRDefault="007B293E" w:rsidP="00596758">
            <w:pPr>
              <w:pStyle w:val="Bullet1"/>
              <w:numPr>
                <w:ilvl w:val="0"/>
                <w:numId w:val="0"/>
              </w:numPr>
            </w:pPr>
            <w:r>
              <w:t>33%</w:t>
            </w:r>
          </w:p>
        </w:tc>
        <w:tc>
          <w:tcPr>
            <w:tcW w:w="3132" w:type="dxa"/>
          </w:tcPr>
          <w:p w14:paraId="0386F26C" w14:textId="77777777" w:rsidR="00596758" w:rsidRPr="007B293E" w:rsidRDefault="007B293E" w:rsidP="00596758">
            <w:pPr>
              <w:pStyle w:val="Bullet1"/>
              <w:numPr>
                <w:ilvl w:val="0"/>
                <w:numId w:val="0"/>
              </w:numPr>
            </w:pPr>
            <w:r>
              <w:t>15%</w:t>
            </w:r>
          </w:p>
        </w:tc>
      </w:tr>
      <w:tr w:rsidR="00596758" w14:paraId="4D4299BA" w14:textId="77777777" w:rsidTr="00596758">
        <w:tc>
          <w:tcPr>
            <w:tcW w:w="3132" w:type="dxa"/>
          </w:tcPr>
          <w:p w14:paraId="32712C8C" w14:textId="77777777" w:rsidR="00596758" w:rsidRPr="007B293E" w:rsidRDefault="007B293E" w:rsidP="00596758">
            <w:pPr>
              <w:pStyle w:val="Bullet1"/>
              <w:numPr>
                <w:ilvl w:val="0"/>
                <w:numId w:val="0"/>
              </w:numPr>
            </w:pPr>
            <w:r>
              <w:t>Bachelor’s degree</w:t>
            </w:r>
          </w:p>
        </w:tc>
        <w:tc>
          <w:tcPr>
            <w:tcW w:w="3132" w:type="dxa"/>
          </w:tcPr>
          <w:p w14:paraId="3AC6CFCD" w14:textId="77777777" w:rsidR="00596758" w:rsidRPr="007B293E" w:rsidRDefault="007B293E" w:rsidP="00596758">
            <w:pPr>
              <w:pStyle w:val="Bullet1"/>
              <w:numPr>
                <w:ilvl w:val="0"/>
                <w:numId w:val="0"/>
              </w:numPr>
            </w:pPr>
            <w:r>
              <w:t>12%</w:t>
            </w:r>
          </w:p>
        </w:tc>
        <w:tc>
          <w:tcPr>
            <w:tcW w:w="3132" w:type="dxa"/>
          </w:tcPr>
          <w:p w14:paraId="781EB63F" w14:textId="77777777" w:rsidR="00596758" w:rsidRPr="007B293E" w:rsidRDefault="007B293E" w:rsidP="00596758">
            <w:pPr>
              <w:pStyle w:val="Bullet1"/>
              <w:numPr>
                <w:ilvl w:val="0"/>
                <w:numId w:val="0"/>
              </w:numPr>
            </w:pPr>
            <w:r>
              <w:t>25%</w:t>
            </w:r>
          </w:p>
        </w:tc>
      </w:tr>
    </w:tbl>
    <w:p w14:paraId="0F1064BE" w14:textId="77777777" w:rsidR="007718E9" w:rsidRDefault="007718E9" w:rsidP="002047A2">
      <w:pPr>
        <w:pStyle w:val="RecLevel1"/>
      </w:pPr>
      <w:r>
        <w:t xml:space="preserve">Educational qualifications make a considerable difference to labour force participation for disabled adults. Participation rates increase from 36 percent among disabled adults with no qualifications to 71 percent for those with university degrees. </w:t>
      </w:r>
    </w:p>
    <w:p w14:paraId="02F57D48" w14:textId="77777777" w:rsidR="007718E9" w:rsidRDefault="007718E9" w:rsidP="002047A2">
      <w:pPr>
        <w:pStyle w:val="RecLevel1"/>
      </w:pPr>
      <w:r w:rsidRPr="002A67FB">
        <w:t xml:space="preserve">The educational data indicates that disability is a factor influencing the likelihood of </w:t>
      </w:r>
      <w:r>
        <w:t>M</w:t>
      </w:r>
      <w:r>
        <w:rPr>
          <w:rFonts w:ascii="Arial" w:hAnsi="Arial"/>
        </w:rPr>
        <w:t>ā</w:t>
      </w:r>
      <w:r>
        <w:t xml:space="preserve">ori </w:t>
      </w:r>
      <w:r w:rsidRPr="002A67FB">
        <w:t>having educational qualifications</w:t>
      </w:r>
      <w:r>
        <w:t>.</w:t>
      </w:r>
      <w:r w:rsidR="00612E8A">
        <w:t xml:space="preserve"> Forty-one</w:t>
      </w:r>
      <w:r w:rsidRPr="002A67FB">
        <w:t xml:space="preserve"> percent of disabled Māori have no formal educational qualifications, compared to 24 percent of their non-disabled peers. Similarly, 7 percent of disabled Māori have degrees, compared to 15 percent for non-disabled Māori.</w:t>
      </w:r>
    </w:p>
    <w:p w14:paraId="5DC12A3A" w14:textId="23C85944" w:rsidR="007718E9" w:rsidRDefault="007718E9" w:rsidP="002047A2">
      <w:pPr>
        <w:pStyle w:val="RecLevel1"/>
      </w:pPr>
      <w:r>
        <w:t>The intersection of disabil</w:t>
      </w:r>
      <w:r w:rsidR="00756867">
        <w:t>ity and gender is minor in</w:t>
      </w:r>
      <w:r>
        <w:t xml:space="preserve"> the educational data. The data in the table below </w:t>
      </w:r>
      <w:r w:rsidR="004124A4">
        <w:t xml:space="preserve">shows </w:t>
      </w:r>
      <w:r>
        <w:t xml:space="preserve">that </w:t>
      </w:r>
      <w:r w:rsidR="004124A4">
        <w:t xml:space="preserve">about </w:t>
      </w:r>
      <w:r>
        <w:t>one-third of disabled women and men have no educational qualification, compared to 1</w:t>
      </w:r>
      <w:r w:rsidR="00DB6C02">
        <w:t>5 percent of non-disabled women and men.</w:t>
      </w:r>
    </w:p>
    <w:p w14:paraId="567DCB56" w14:textId="31B3E1EC" w:rsidR="007718E9" w:rsidRDefault="00AD3069" w:rsidP="007718E9">
      <w:pPr>
        <w:rPr>
          <w:b/>
        </w:rPr>
      </w:pPr>
      <w:r>
        <w:rPr>
          <w:b/>
        </w:rPr>
        <w:t>Table 4</w:t>
      </w:r>
      <w:r w:rsidR="00B91E84">
        <w:rPr>
          <w:b/>
        </w:rPr>
        <w:t xml:space="preserve">: </w:t>
      </w:r>
      <w:r w:rsidR="007718E9">
        <w:rPr>
          <w:b/>
        </w:rPr>
        <w:t>Educational qualifications of disabled and non-disabled women and disabled</w:t>
      </w:r>
      <w:r w:rsidR="00436B69">
        <w:rPr>
          <w:b/>
        </w:rPr>
        <w:t xml:space="preserve"> and non-disabled</w:t>
      </w:r>
      <w:r w:rsidR="007718E9">
        <w:rPr>
          <w:b/>
        </w:rPr>
        <w:t xml:space="preserve"> men</w:t>
      </w:r>
    </w:p>
    <w:tbl>
      <w:tblPr>
        <w:tblStyle w:val="TableGrid"/>
        <w:tblW w:w="0" w:type="auto"/>
        <w:tblLook w:val="04A0" w:firstRow="1" w:lastRow="0" w:firstColumn="1" w:lastColumn="0" w:noHBand="0" w:noVBand="1"/>
      </w:tblPr>
      <w:tblGrid>
        <w:gridCol w:w="2012"/>
        <w:gridCol w:w="1898"/>
        <w:gridCol w:w="1899"/>
        <w:gridCol w:w="1893"/>
        <w:gridCol w:w="1694"/>
      </w:tblGrid>
      <w:tr w:rsidR="00436B69" w14:paraId="51485EAE" w14:textId="5D63E053" w:rsidTr="00436B69">
        <w:tc>
          <w:tcPr>
            <w:tcW w:w="2012" w:type="dxa"/>
          </w:tcPr>
          <w:p w14:paraId="32EE7B09" w14:textId="77777777" w:rsidR="00436B69" w:rsidRPr="00C43754" w:rsidRDefault="00436B69" w:rsidP="004124A4">
            <w:pPr>
              <w:rPr>
                <w:szCs w:val="18"/>
              </w:rPr>
            </w:pPr>
            <w:r>
              <w:rPr>
                <w:szCs w:val="18"/>
              </w:rPr>
              <w:t>Educational qualifications</w:t>
            </w:r>
          </w:p>
        </w:tc>
        <w:tc>
          <w:tcPr>
            <w:tcW w:w="1898" w:type="dxa"/>
          </w:tcPr>
          <w:p w14:paraId="01F2C51E" w14:textId="77777777" w:rsidR="00436B69" w:rsidRPr="00C43754" w:rsidRDefault="00436B69" w:rsidP="004124A4">
            <w:r>
              <w:t>Disabled women</w:t>
            </w:r>
          </w:p>
        </w:tc>
        <w:tc>
          <w:tcPr>
            <w:tcW w:w="1899" w:type="dxa"/>
          </w:tcPr>
          <w:p w14:paraId="5980AFE4" w14:textId="77777777" w:rsidR="00436B69" w:rsidRPr="00C43754" w:rsidRDefault="00436B69" w:rsidP="004124A4">
            <w:r>
              <w:t>Disabled men</w:t>
            </w:r>
          </w:p>
        </w:tc>
        <w:tc>
          <w:tcPr>
            <w:tcW w:w="1893" w:type="dxa"/>
          </w:tcPr>
          <w:p w14:paraId="38E8AD2D" w14:textId="77777777" w:rsidR="00436B69" w:rsidRPr="00C43754" w:rsidRDefault="00436B69" w:rsidP="004124A4">
            <w:r>
              <w:t>Non-disabled women</w:t>
            </w:r>
          </w:p>
        </w:tc>
        <w:tc>
          <w:tcPr>
            <w:tcW w:w="1694" w:type="dxa"/>
          </w:tcPr>
          <w:p w14:paraId="5BA1A9FD" w14:textId="7380DD3A" w:rsidR="00436B69" w:rsidRDefault="00436B69" w:rsidP="004124A4">
            <w:r>
              <w:t>Non-disabled men</w:t>
            </w:r>
          </w:p>
        </w:tc>
      </w:tr>
      <w:tr w:rsidR="00436B69" w14:paraId="1481708E" w14:textId="640346F2" w:rsidTr="00436B69">
        <w:tc>
          <w:tcPr>
            <w:tcW w:w="2012" w:type="dxa"/>
          </w:tcPr>
          <w:p w14:paraId="6065100D" w14:textId="77777777" w:rsidR="00436B69" w:rsidRPr="00C43754" w:rsidRDefault="00436B69" w:rsidP="004124A4">
            <w:r>
              <w:t>No educational qualification</w:t>
            </w:r>
          </w:p>
        </w:tc>
        <w:tc>
          <w:tcPr>
            <w:tcW w:w="1898" w:type="dxa"/>
          </w:tcPr>
          <w:p w14:paraId="2025B092" w14:textId="2691CC82" w:rsidR="00436B69" w:rsidRPr="00C43754" w:rsidRDefault="00DB6C02" w:rsidP="004124A4">
            <w:r>
              <w:t>33</w:t>
            </w:r>
            <w:r w:rsidR="00436B69">
              <w:t>%</w:t>
            </w:r>
          </w:p>
        </w:tc>
        <w:tc>
          <w:tcPr>
            <w:tcW w:w="1899" w:type="dxa"/>
          </w:tcPr>
          <w:p w14:paraId="60F38F74" w14:textId="77777777" w:rsidR="00436B69" w:rsidRPr="00C43754" w:rsidRDefault="00436B69" w:rsidP="004124A4">
            <w:r>
              <w:t>32%</w:t>
            </w:r>
          </w:p>
        </w:tc>
        <w:tc>
          <w:tcPr>
            <w:tcW w:w="1893" w:type="dxa"/>
          </w:tcPr>
          <w:p w14:paraId="7AD33ABD" w14:textId="77777777" w:rsidR="00436B69" w:rsidRPr="00CC232E" w:rsidRDefault="00436B69" w:rsidP="004124A4">
            <w:r>
              <w:t>15%</w:t>
            </w:r>
          </w:p>
        </w:tc>
        <w:tc>
          <w:tcPr>
            <w:tcW w:w="1694" w:type="dxa"/>
          </w:tcPr>
          <w:p w14:paraId="6CC58B4D" w14:textId="425F598A" w:rsidR="00436B69" w:rsidRDefault="00DB6C02" w:rsidP="004124A4">
            <w:r>
              <w:t>15%</w:t>
            </w:r>
          </w:p>
        </w:tc>
      </w:tr>
      <w:tr w:rsidR="00436B69" w14:paraId="2F603E61" w14:textId="717DFD8F" w:rsidTr="00436B69">
        <w:tc>
          <w:tcPr>
            <w:tcW w:w="2012" w:type="dxa"/>
          </w:tcPr>
          <w:p w14:paraId="44C7AFDB" w14:textId="77777777" w:rsidR="00436B69" w:rsidRDefault="00436B69" w:rsidP="004124A4">
            <w:r>
              <w:t>Bachelor’s degree or higher</w:t>
            </w:r>
          </w:p>
        </w:tc>
        <w:tc>
          <w:tcPr>
            <w:tcW w:w="1898" w:type="dxa"/>
          </w:tcPr>
          <w:p w14:paraId="3BB24E35" w14:textId="77777777" w:rsidR="00436B69" w:rsidRPr="00CC232E" w:rsidRDefault="00436B69" w:rsidP="004124A4">
            <w:r>
              <w:t>13%</w:t>
            </w:r>
          </w:p>
        </w:tc>
        <w:tc>
          <w:tcPr>
            <w:tcW w:w="1899" w:type="dxa"/>
          </w:tcPr>
          <w:p w14:paraId="426F2570" w14:textId="77777777" w:rsidR="00436B69" w:rsidRPr="00CC232E" w:rsidRDefault="00436B69" w:rsidP="004124A4">
            <w:r>
              <w:t>11%</w:t>
            </w:r>
          </w:p>
        </w:tc>
        <w:tc>
          <w:tcPr>
            <w:tcW w:w="1893" w:type="dxa"/>
          </w:tcPr>
          <w:p w14:paraId="3CFC1FE4" w14:textId="05643269" w:rsidR="00436B69" w:rsidRPr="00CC232E" w:rsidRDefault="00DB6C02" w:rsidP="004124A4">
            <w:r>
              <w:t>25</w:t>
            </w:r>
            <w:r w:rsidR="00436B69">
              <w:t>%</w:t>
            </w:r>
          </w:p>
        </w:tc>
        <w:tc>
          <w:tcPr>
            <w:tcW w:w="1694" w:type="dxa"/>
          </w:tcPr>
          <w:p w14:paraId="09754912" w14:textId="6FEE98F1" w:rsidR="00436B69" w:rsidRDefault="00DB6C02" w:rsidP="004124A4">
            <w:r>
              <w:t>23%</w:t>
            </w:r>
          </w:p>
        </w:tc>
      </w:tr>
    </w:tbl>
    <w:p w14:paraId="67D68637" w14:textId="77777777" w:rsidR="00D85A46" w:rsidRDefault="00D85A46" w:rsidP="00FC28E0">
      <w:pPr>
        <w:pStyle w:val="Heading4"/>
        <w:rPr>
          <w:lang w:val="en-NZ"/>
        </w:rPr>
      </w:pPr>
    </w:p>
    <w:p w14:paraId="1A45CCD5" w14:textId="77777777" w:rsidR="00FC28E0" w:rsidRPr="00FC28E0" w:rsidRDefault="00FC28E0" w:rsidP="00FC28E0">
      <w:pPr>
        <w:pStyle w:val="Heading4"/>
        <w:rPr>
          <w:lang w:val="en-NZ"/>
        </w:rPr>
      </w:pPr>
      <w:r>
        <w:rPr>
          <w:lang w:val="en-NZ"/>
        </w:rPr>
        <w:t>Disabled people report being excluded and subjected to intimidation and bullying at school</w:t>
      </w:r>
    </w:p>
    <w:p w14:paraId="02CFC6B3" w14:textId="2548AD52" w:rsidR="007718E9" w:rsidRDefault="007718E9" w:rsidP="00213557">
      <w:pPr>
        <w:pStyle w:val="RecLevel1"/>
      </w:pPr>
      <w:r>
        <w:t>As to disabled people’s lived experience in the edu</w:t>
      </w:r>
      <w:r w:rsidR="0086581F">
        <w:t xml:space="preserve">cational system, </w:t>
      </w:r>
      <w:r>
        <w:t>disabled young people (aged 16-25) interviewed for the Convention Coalition research (2013a) reported being isolated and excluded within the school system.</w:t>
      </w:r>
      <w:r w:rsidR="00D60459">
        <w:t xml:space="preserve"> </w:t>
      </w:r>
    </w:p>
    <w:p w14:paraId="780660CB" w14:textId="77777777" w:rsidR="007718E9" w:rsidRPr="007B161F" w:rsidRDefault="00D60459" w:rsidP="00213557">
      <w:pPr>
        <w:pStyle w:val="RecLevel1"/>
      </w:pPr>
      <w:r>
        <w:t xml:space="preserve">One participant stated: </w:t>
      </w:r>
      <w:r w:rsidR="00705C66">
        <w:t>‘</w:t>
      </w:r>
      <w:r w:rsidR="007718E9">
        <w:t>I spent more time out of class than in class – especially at primary school. The teachers used to send me to the Comfy Room and I used to sit in there. The only thing I had to look forward to was the morning tea and lunch times because people used to come in and because I was special used to chat to me and all that.</w:t>
      </w:r>
      <w:r w:rsidR="00705C66">
        <w:t>’</w:t>
      </w:r>
      <w:r w:rsidR="007718E9">
        <w:t xml:space="preserve"> </w:t>
      </w:r>
      <w:r w:rsidR="007718E9" w:rsidRPr="007B161F">
        <w:t xml:space="preserve">(2013a:21) </w:t>
      </w:r>
    </w:p>
    <w:p w14:paraId="27BC4C8D" w14:textId="40E7B81F" w:rsidR="007718E9" w:rsidRDefault="0086581F" w:rsidP="00213557">
      <w:pPr>
        <w:pStyle w:val="RecLevel1"/>
      </w:pPr>
      <w:r>
        <w:t>T</w:t>
      </w:r>
      <w:r w:rsidR="007718E9">
        <w:t>he</w:t>
      </w:r>
      <w:r w:rsidR="00612E8A">
        <w:t xml:space="preserve"> disabled</w:t>
      </w:r>
      <w:r w:rsidR="007718E9">
        <w:t xml:space="preserve"> young people</w:t>
      </w:r>
      <w:r>
        <w:t xml:space="preserve"> interviewed</w:t>
      </w:r>
      <w:r w:rsidR="007718E9">
        <w:t xml:space="preserve"> had also experienced intimidation and bullying at school.  </w:t>
      </w:r>
    </w:p>
    <w:p w14:paraId="7DD190EA" w14:textId="77777777" w:rsidR="007718E9" w:rsidRDefault="007718E9" w:rsidP="00213557">
      <w:pPr>
        <w:pStyle w:val="RecLevel1"/>
      </w:pPr>
      <w:r>
        <w:t>Of the young people still in school, many mentioned the role of teacher aides. Several participants in the Convention Coalition’s 2012 research report also spoke of teacher aides being used to assist non-disabled children in the class, ‘while the disabled child lan</w:t>
      </w:r>
      <w:r w:rsidR="00E86A6A">
        <w:t>guishes at the back of the room’</w:t>
      </w:r>
      <w:r>
        <w:t xml:space="preserve">. </w:t>
      </w:r>
    </w:p>
    <w:p w14:paraId="6BB15D16" w14:textId="77777777" w:rsidR="007718E9" w:rsidRDefault="007667BB" w:rsidP="00AC3A46">
      <w:pPr>
        <w:pStyle w:val="Heading4"/>
        <w:rPr>
          <w:lang w:val="en-NZ"/>
        </w:rPr>
      </w:pPr>
      <w:r>
        <w:rPr>
          <w:lang w:val="en-NZ"/>
        </w:rPr>
        <w:t>Disabled people are less likely to be employed in managerial and professional occupations compared to non-disabled people</w:t>
      </w:r>
    </w:p>
    <w:p w14:paraId="0E4D0D68" w14:textId="77777777" w:rsidR="00A145C7" w:rsidRPr="00BE5049" w:rsidRDefault="00705C66" w:rsidP="005E6671">
      <w:pPr>
        <w:pStyle w:val="RecLevel1"/>
      </w:pPr>
      <w:r>
        <w:t>Given that</w:t>
      </w:r>
      <w:r w:rsidR="007718E9" w:rsidRPr="00612E8A">
        <w:t xml:space="preserve"> disabled adults are less likely to have tertiary educational qualifications, it is not surprising that, as the table below shows, they are less concentrated in professional and managerial roles, compared to non-disabled people. It is also interesting to note the higher proportion of disabled people in the manual occupation of labourer.</w:t>
      </w:r>
    </w:p>
    <w:p w14:paraId="3D07FE5C" w14:textId="1EA37B67" w:rsidR="007718E9" w:rsidRPr="0025283F" w:rsidRDefault="00AD3069" w:rsidP="007718E9">
      <w:r>
        <w:rPr>
          <w:b/>
        </w:rPr>
        <w:t>Table 5</w:t>
      </w:r>
      <w:r w:rsidR="00AC3A46">
        <w:rPr>
          <w:b/>
        </w:rPr>
        <w:t xml:space="preserve">: </w:t>
      </w:r>
      <w:r w:rsidR="00C81E53">
        <w:rPr>
          <w:b/>
        </w:rPr>
        <w:t>Selected occupations</w:t>
      </w:r>
      <w:r w:rsidR="007718E9">
        <w:rPr>
          <w:b/>
        </w:rPr>
        <w:t xml:space="preserve"> of disabled and non-disabled people</w:t>
      </w:r>
    </w:p>
    <w:tbl>
      <w:tblPr>
        <w:tblStyle w:val="TableGrid"/>
        <w:tblW w:w="0" w:type="auto"/>
        <w:tblLook w:val="04A0" w:firstRow="1" w:lastRow="0" w:firstColumn="1" w:lastColumn="0" w:noHBand="0" w:noVBand="1"/>
      </w:tblPr>
      <w:tblGrid>
        <w:gridCol w:w="3080"/>
        <w:gridCol w:w="3081"/>
        <w:gridCol w:w="3081"/>
      </w:tblGrid>
      <w:tr w:rsidR="007718E9" w14:paraId="6D5DD543" w14:textId="77777777" w:rsidTr="004124A4">
        <w:tc>
          <w:tcPr>
            <w:tcW w:w="3080" w:type="dxa"/>
          </w:tcPr>
          <w:p w14:paraId="76B5F65F" w14:textId="77777777" w:rsidR="007718E9" w:rsidRDefault="007718E9" w:rsidP="004124A4">
            <w:pPr>
              <w:jc w:val="center"/>
            </w:pPr>
            <w:r>
              <w:t>Occupation</w:t>
            </w:r>
          </w:p>
        </w:tc>
        <w:tc>
          <w:tcPr>
            <w:tcW w:w="3081" w:type="dxa"/>
          </w:tcPr>
          <w:p w14:paraId="3DB98A61" w14:textId="77777777" w:rsidR="007718E9" w:rsidRDefault="007718E9" w:rsidP="004124A4">
            <w:pPr>
              <w:jc w:val="center"/>
            </w:pPr>
            <w:r>
              <w:t>Disabled people</w:t>
            </w:r>
          </w:p>
        </w:tc>
        <w:tc>
          <w:tcPr>
            <w:tcW w:w="3081" w:type="dxa"/>
          </w:tcPr>
          <w:p w14:paraId="11FE8C6C" w14:textId="77777777" w:rsidR="007718E9" w:rsidRDefault="007718E9" w:rsidP="004124A4">
            <w:pPr>
              <w:jc w:val="center"/>
            </w:pPr>
            <w:r>
              <w:t>Non-disabled people</w:t>
            </w:r>
          </w:p>
        </w:tc>
      </w:tr>
      <w:tr w:rsidR="007718E9" w14:paraId="1CBBDF65" w14:textId="77777777" w:rsidTr="004124A4">
        <w:tc>
          <w:tcPr>
            <w:tcW w:w="3080" w:type="dxa"/>
          </w:tcPr>
          <w:p w14:paraId="43CB56DD" w14:textId="77777777" w:rsidR="007718E9" w:rsidRDefault="007718E9" w:rsidP="004124A4">
            <w:pPr>
              <w:jc w:val="center"/>
            </w:pPr>
            <w:r>
              <w:t>Professional and managerial</w:t>
            </w:r>
          </w:p>
        </w:tc>
        <w:tc>
          <w:tcPr>
            <w:tcW w:w="3081" w:type="dxa"/>
          </w:tcPr>
          <w:p w14:paraId="6AD028EF" w14:textId="77777777" w:rsidR="007718E9" w:rsidRDefault="007718E9" w:rsidP="004124A4">
            <w:pPr>
              <w:jc w:val="center"/>
            </w:pPr>
            <w:r>
              <w:t>35%</w:t>
            </w:r>
          </w:p>
        </w:tc>
        <w:tc>
          <w:tcPr>
            <w:tcW w:w="3081" w:type="dxa"/>
          </w:tcPr>
          <w:p w14:paraId="4EBF520F" w14:textId="77777777" w:rsidR="007718E9" w:rsidRDefault="007718E9" w:rsidP="004124A4">
            <w:pPr>
              <w:jc w:val="center"/>
            </w:pPr>
            <w:r>
              <w:t>44%</w:t>
            </w:r>
          </w:p>
        </w:tc>
      </w:tr>
      <w:tr w:rsidR="007718E9" w14:paraId="53C2C4CB" w14:textId="77777777" w:rsidTr="004124A4">
        <w:tc>
          <w:tcPr>
            <w:tcW w:w="3080" w:type="dxa"/>
          </w:tcPr>
          <w:p w14:paraId="6E75E647" w14:textId="77777777" w:rsidR="007718E9" w:rsidRDefault="007718E9" w:rsidP="004124A4">
            <w:pPr>
              <w:jc w:val="center"/>
            </w:pPr>
            <w:r>
              <w:t>Clerical and administrative</w:t>
            </w:r>
          </w:p>
        </w:tc>
        <w:tc>
          <w:tcPr>
            <w:tcW w:w="3081" w:type="dxa"/>
          </w:tcPr>
          <w:p w14:paraId="3C1021A9" w14:textId="77777777" w:rsidR="007718E9" w:rsidRDefault="007718E9" w:rsidP="004124A4">
            <w:pPr>
              <w:jc w:val="center"/>
            </w:pPr>
            <w:r>
              <w:t>13%</w:t>
            </w:r>
          </w:p>
        </w:tc>
        <w:tc>
          <w:tcPr>
            <w:tcW w:w="3081" w:type="dxa"/>
          </w:tcPr>
          <w:p w14:paraId="51E83193" w14:textId="77777777" w:rsidR="007718E9" w:rsidRDefault="007718E9" w:rsidP="004124A4">
            <w:pPr>
              <w:jc w:val="center"/>
            </w:pPr>
            <w:r>
              <w:t>12%</w:t>
            </w:r>
          </w:p>
        </w:tc>
      </w:tr>
      <w:tr w:rsidR="007718E9" w14:paraId="58427B1F" w14:textId="77777777" w:rsidTr="004124A4">
        <w:tc>
          <w:tcPr>
            <w:tcW w:w="3080" w:type="dxa"/>
          </w:tcPr>
          <w:p w14:paraId="72048B44" w14:textId="77777777" w:rsidR="007718E9" w:rsidRDefault="007718E9" w:rsidP="004124A4">
            <w:pPr>
              <w:jc w:val="center"/>
            </w:pPr>
            <w:r>
              <w:t>Community and personal services</w:t>
            </w:r>
          </w:p>
        </w:tc>
        <w:tc>
          <w:tcPr>
            <w:tcW w:w="3081" w:type="dxa"/>
          </w:tcPr>
          <w:p w14:paraId="335FA2A5" w14:textId="77777777" w:rsidR="007718E9" w:rsidRDefault="007718E9" w:rsidP="004124A4">
            <w:pPr>
              <w:jc w:val="center"/>
            </w:pPr>
            <w:r>
              <w:t>9%</w:t>
            </w:r>
          </w:p>
        </w:tc>
        <w:tc>
          <w:tcPr>
            <w:tcW w:w="3081" w:type="dxa"/>
          </w:tcPr>
          <w:p w14:paraId="76EF5FFE" w14:textId="77777777" w:rsidR="007718E9" w:rsidRDefault="007718E9" w:rsidP="004124A4">
            <w:pPr>
              <w:jc w:val="center"/>
            </w:pPr>
            <w:r>
              <w:t>9%</w:t>
            </w:r>
          </w:p>
        </w:tc>
      </w:tr>
      <w:tr w:rsidR="007718E9" w14:paraId="30AC00C8" w14:textId="77777777" w:rsidTr="004124A4">
        <w:tc>
          <w:tcPr>
            <w:tcW w:w="3080" w:type="dxa"/>
          </w:tcPr>
          <w:p w14:paraId="097A4B2D" w14:textId="77777777" w:rsidR="007718E9" w:rsidRDefault="007718E9" w:rsidP="004124A4">
            <w:pPr>
              <w:jc w:val="center"/>
            </w:pPr>
            <w:r>
              <w:t>Labourer</w:t>
            </w:r>
          </w:p>
        </w:tc>
        <w:tc>
          <w:tcPr>
            <w:tcW w:w="3081" w:type="dxa"/>
          </w:tcPr>
          <w:p w14:paraId="33A2BAF1" w14:textId="77777777" w:rsidR="007718E9" w:rsidRDefault="007718E9" w:rsidP="004124A4">
            <w:pPr>
              <w:jc w:val="center"/>
            </w:pPr>
            <w:r>
              <w:t>14%</w:t>
            </w:r>
          </w:p>
        </w:tc>
        <w:tc>
          <w:tcPr>
            <w:tcW w:w="3081" w:type="dxa"/>
          </w:tcPr>
          <w:p w14:paraId="04EA6EDE" w14:textId="77777777" w:rsidR="007718E9" w:rsidRDefault="007718E9" w:rsidP="004124A4">
            <w:pPr>
              <w:jc w:val="center"/>
            </w:pPr>
            <w:r>
              <w:t>10%</w:t>
            </w:r>
          </w:p>
        </w:tc>
      </w:tr>
    </w:tbl>
    <w:p w14:paraId="51A6D318" w14:textId="413202B5" w:rsidR="007718E9" w:rsidRDefault="00BE5049" w:rsidP="00AC3A46">
      <w:pPr>
        <w:pStyle w:val="Heading4"/>
        <w:rPr>
          <w:lang w:val="en-NZ"/>
        </w:rPr>
      </w:pPr>
      <w:r>
        <w:rPr>
          <w:lang w:val="en-NZ"/>
        </w:rPr>
        <w:t>D</w:t>
      </w:r>
      <w:r w:rsidR="007667BB">
        <w:rPr>
          <w:lang w:val="en-NZ"/>
        </w:rPr>
        <w:t>isabled people are more</w:t>
      </w:r>
      <w:r w:rsidR="003C49B8">
        <w:rPr>
          <w:lang w:val="en-NZ"/>
        </w:rPr>
        <w:t xml:space="preserve"> likely to be in</w:t>
      </w:r>
      <w:r w:rsidR="007667BB">
        <w:rPr>
          <w:lang w:val="en-NZ"/>
        </w:rPr>
        <w:t xml:space="preserve"> low i</w:t>
      </w:r>
      <w:r w:rsidR="007718E9" w:rsidRPr="006149A1">
        <w:t>ncome</w:t>
      </w:r>
      <w:r w:rsidR="007667BB">
        <w:rPr>
          <w:lang w:val="en-NZ"/>
        </w:rPr>
        <w:t xml:space="preserve"> </w:t>
      </w:r>
      <w:r w:rsidR="00803C53">
        <w:rPr>
          <w:lang w:val="en-NZ"/>
        </w:rPr>
        <w:t xml:space="preserve">groups </w:t>
      </w:r>
      <w:r w:rsidR="007667BB">
        <w:rPr>
          <w:lang w:val="en-NZ"/>
        </w:rPr>
        <w:t>compared to non-disabled people</w:t>
      </w:r>
    </w:p>
    <w:p w14:paraId="07FD22C7" w14:textId="77777777" w:rsidR="00016E26" w:rsidRPr="00BA6D1D" w:rsidRDefault="00016E26" w:rsidP="004E237D">
      <w:pPr>
        <w:pStyle w:val="RecLevel1"/>
      </w:pPr>
      <w:r w:rsidRPr="00BA6D1D">
        <w:t>Summary</w:t>
      </w:r>
    </w:p>
    <w:p w14:paraId="152BE4B8" w14:textId="06565BD6" w:rsidR="00016E26" w:rsidRDefault="0034473C" w:rsidP="00016E26">
      <w:pPr>
        <w:pStyle w:val="Bullet1"/>
      </w:pPr>
      <w:r>
        <w:t>Almost two</w:t>
      </w:r>
      <w:r w:rsidR="00016E26">
        <w:t>-third</w:t>
      </w:r>
      <w:r>
        <w:t>s</w:t>
      </w:r>
      <w:r w:rsidR="00016E26">
        <w:t xml:space="preserve"> of disabled people live on a low income</w:t>
      </w:r>
      <w:r>
        <w:t xml:space="preserve"> below </w:t>
      </w:r>
      <w:r w:rsidR="00016E26">
        <w:t>$30,000. Consequently, they are more likely to experience poorer economic and social outcomes</w:t>
      </w:r>
      <w:r w:rsidR="00F15988">
        <w:t>.</w:t>
      </w:r>
    </w:p>
    <w:p w14:paraId="4FF211B4" w14:textId="77777777" w:rsidR="00016E26" w:rsidRDefault="00016E26" w:rsidP="00016E26">
      <w:pPr>
        <w:pStyle w:val="Bullet1"/>
      </w:pPr>
      <w:r>
        <w:t>Among M</w:t>
      </w:r>
      <w:r>
        <w:rPr>
          <w:rFonts w:ascii="Arial" w:hAnsi="Arial"/>
        </w:rPr>
        <w:t xml:space="preserve">āori, </w:t>
      </w:r>
      <w:r>
        <w:t>those with a disability are more likely to experience significant material hardship because of a lack of income.</w:t>
      </w:r>
    </w:p>
    <w:p w14:paraId="149DFC56" w14:textId="369EA0A3" w:rsidR="00016E26" w:rsidRPr="00EC313B" w:rsidRDefault="00016E26" w:rsidP="00016E26">
      <w:pPr>
        <w:pStyle w:val="Bullet1"/>
        <w:rPr>
          <w:b/>
        </w:rPr>
      </w:pPr>
      <w:r>
        <w:t xml:space="preserve">Reflecting gender inequality in the wider society, almost three-quarters of disabled women live on $30,000 or less, compared to just over half of their disabled male peers. </w:t>
      </w:r>
    </w:p>
    <w:p w14:paraId="0BE62FD5" w14:textId="1B99A206" w:rsidR="00664564" w:rsidRDefault="003741B3" w:rsidP="004E237D">
      <w:pPr>
        <w:pStyle w:val="RecLevel1"/>
      </w:pPr>
      <w:r>
        <w:t>Given</w:t>
      </w:r>
      <w:r w:rsidR="005E58A9">
        <w:t xml:space="preserve"> </w:t>
      </w:r>
      <w:r w:rsidR="007718E9">
        <w:t xml:space="preserve">disabled people’s lower level of educational attainment, greater representation in part-time employment and lesser representation in professional and managerial </w:t>
      </w:r>
      <w:r w:rsidR="007718E9">
        <w:lastRenderedPageBreak/>
        <w:t>occupations, it is not surprising that</w:t>
      </w:r>
      <w:r w:rsidR="00AD3069">
        <w:t xml:space="preserve"> they are concentrated, as the table below ind</w:t>
      </w:r>
      <w:r w:rsidR="00F15988">
        <w:t>icates, in lower income groups</w:t>
      </w:r>
      <w:r w:rsidR="00AD3069">
        <w:t>.</w:t>
      </w:r>
    </w:p>
    <w:p w14:paraId="18C5C7E3" w14:textId="77777777" w:rsidR="00664564" w:rsidRDefault="00664564" w:rsidP="00664564">
      <w:pPr>
        <w:pStyle w:val="ReportBody"/>
        <w:numPr>
          <w:ilvl w:val="0"/>
          <w:numId w:val="0"/>
        </w:numPr>
        <w:rPr>
          <w:b/>
        </w:rPr>
      </w:pPr>
      <w:r>
        <w:rPr>
          <w:b/>
        </w:rPr>
        <w:t>Table 6: Total personal income of disabled and non-disabled people living in private households</w:t>
      </w:r>
    </w:p>
    <w:tbl>
      <w:tblPr>
        <w:tblStyle w:val="TableGrid"/>
        <w:tblW w:w="0" w:type="auto"/>
        <w:tblLook w:val="04A0" w:firstRow="1" w:lastRow="0" w:firstColumn="1" w:lastColumn="0" w:noHBand="0" w:noVBand="1"/>
      </w:tblPr>
      <w:tblGrid>
        <w:gridCol w:w="3132"/>
        <w:gridCol w:w="3132"/>
        <w:gridCol w:w="3132"/>
      </w:tblGrid>
      <w:tr w:rsidR="004A167F" w14:paraId="31E3D5D9" w14:textId="77777777" w:rsidTr="004A167F">
        <w:tc>
          <w:tcPr>
            <w:tcW w:w="3132" w:type="dxa"/>
          </w:tcPr>
          <w:p w14:paraId="76920A35" w14:textId="363E8BC7" w:rsidR="004A167F" w:rsidRPr="004A167F" w:rsidRDefault="00F25388" w:rsidP="00664564">
            <w:pPr>
              <w:pStyle w:val="ReportBody"/>
              <w:numPr>
                <w:ilvl w:val="0"/>
                <w:numId w:val="0"/>
              </w:numPr>
            </w:pPr>
            <w:r>
              <w:t>Income range</w:t>
            </w:r>
          </w:p>
        </w:tc>
        <w:tc>
          <w:tcPr>
            <w:tcW w:w="3132" w:type="dxa"/>
          </w:tcPr>
          <w:p w14:paraId="5B9E7CAD" w14:textId="77777777" w:rsidR="004A167F" w:rsidRPr="004A167F" w:rsidRDefault="004A167F" w:rsidP="00664564">
            <w:pPr>
              <w:pStyle w:val="ReportBody"/>
              <w:numPr>
                <w:ilvl w:val="0"/>
                <w:numId w:val="0"/>
              </w:numPr>
            </w:pPr>
            <w:r>
              <w:t>Disabled people</w:t>
            </w:r>
          </w:p>
        </w:tc>
        <w:tc>
          <w:tcPr>
            <w:tcW w:w="3132" w:type="dxa"/>
          </w:tcPr>
          <w:p w14:paraId="6A21E890" w14:textId="77777777" w:rsidR="004A167F" w:rsidRPr="004A167F" w:rsidRDefault="004A167F" w:rsidP="00664564">
            <w:pPr>
              <w:pStyle w:val="ReportBody"/>
              <w:numPr>
                <w:ilvl w:val="0"/>
                <w:numId w:val="0"/>
              </w:numPr>
            </w:pPr>
            <w:r>
              <w:t>Non-disabled people</w:t>
            </w:r>
          </w:p>
        </w:tc>
      </w:tr>
      <w:tr w:rsidR="004A167F" w14:paraId="6DA992B2" w14:textId="77777777" w:rsidTr="004A167F">
        <w:tc>
          <w:tcPr>
            <w:tcW w:w="3132" w:type="dxa"/>
          </w:tcPr>
          <w:p w14:paraId="0C8FB123" w14:textId="0DB30A05" w:rsidR="004A167F" w:rsidRPr="004A167F" w:rsidRDefault="00F25388" w:rsidP="00664564">
            <w:pPr>
              <w:pStyle w:val="ReportBody"/>
              <w:numPr>
                <w:ilvl w:val="0"/>
                <w:numId w:val="0"/>
              </w:numPr>
            </w:pPr>
            <w:r>
              <w:t>Total personal income in the last 12 months of $30,000 or less</w:t>
            </w:r>
          </w:p>
        </w:tc>
        <w:tc>
          <w:tcPr>
            <w:tcW w:w="3132" w:type="dxa"/>
          </w:tcPr>
          <w:p w14:paraId="7F8B543E" w14:textId="697E1E97" w:rsidR="004A167F" w:rsidRPr="004A167F" w:rsidRDefault="00F25388" w:rsidP="00664564">
            <w:pPr>
              <w:pStyle w:val="ReportBody"/>
              <w:numPr>
                <w:ilvl w:val="0"/>
                <w:numId w:val="0"/>
              </w:numPr>
            </w:pPr>
            <w:r>
              <w:t>64%</w:t>
            </w:r>
          </w:p>
        </w:tc>
        <w:tc>
          <w:tcPr>
            <w:tcW w:w="3132" w:type="dxa"/>
          </w:tcPr>
          <w:p w14:paraId="1F2BC822" w14:textId="6A27E406" w:rsidR="004A167F" w:rsidRPr="004A167F" w:rsidRDefault="009C149C" w:rsidP="00664564">
            <w:pPr>
              <w:pStyle w:val="ReportBody"/>
              <w:numPr>
                <w:ilvl w:val="0"/>
                <w:numId w:val="0"/>
              </w:numPr>
            </w:pPr>
            <w:r>
              <w:t>45%</w:t>
            </w:r>
          </w:p>
        </w:tc>
      </w:tr>
      <w:tr w:rsidR="004A167F" w14:paraId="212D9A96" w14:textId="77777777" w:rsidTr="004A167F">
        <w:tc>
          <w:tcPr>
            <w:tcW w:w="3132" w:type="dxa"/>
          </w:tcPr>
          <w:p w14:paraId="1D6DA868" w14:textId="368AA736" w:rsidR="004A167F" w:rsidRPr="004A167F" w:rsidRDefault="00396E8B" w:rsidP="00664564">
            <w:pPr>
              <w:pStyle w:val="ReportBody"/>
              <w:numPr>
                <w:ilvl w:val="0"/>
                <w:numId w:val="0"/>
              </w:numPr>
            </w:pPr>
            <w:r>
              <w:t>Total personal income in the last 12 months of</w:t>
            </w:r>
            <w:r w:rsidR="004A167F">
              <w:t xml:space="preserve"> $70,000</w:t>
            </w:r>
            <w:r>
              <w:t>+</w:t>
            </w:r>
          </w:p>
        </w:tc>
        <w:tc>
          <w:tcPr>
            <w:tcW w:w="3132" w:type="dxa"/>
          </w:tcPr>
          <w:p w14:paraId="12E26D6F" w14:textId="7E85609B" w:rsidR="004A167F" w:rsidRPr="004A167F" w:rsidRDefault="00C76E01" w:rsidP="00664564">
            <w:pPr>
              <w:pStyle w:val="ReportBody"/>
              <w:numPr>
                <w:ilvl w:val="0"/>
                <w:numId w:val="0"/>
              </w:numPr>
            </w:pPr>
            <w:r>
              <w:t>8</w:t>
            </w:r>
            <w:r w:rsidR="004A167F">
              <w:t>%</w:t>
            </w:r>
          </w:p>
        </w:tc>
        <w:tc>
          <w:tcPr>
            <w:tcW w:w="3132" w:type="dxa"/>
          </w:tcPr>
          <w:p w14:paraId="138CF206" w14:textId="77777777" w:rsidR="004A167F" w:rsidRPr="004A167F" w:rsidRDefault="004A167F" w:rsidP="00664564">
            <w:pPr>
              <w:pStyle w:val="ReportBody"/>
              <w:numPr>
                <w:ilvl w:val="0"/>
                <w:numId w:val="0"/>
              </w:numPr>
            </w:pPr>
            <w:r>
              <w:t>17%</w:t>
            </w:r>
          </w:p>
        </w:tc>
      </w:tr>
    </w:tbl>
    <w:p w14:paraId="6D902E20" w14:textId="7BCBC52D" w:rsidR="007718E9" w:rsidRDefault="007718E9" w:rsidP="00AD2A64">
      <w:pPr>
        <w:pStyle w:val="RecLevel1"/>
      </w:pPr>
      <w:r>
        <w:t>The data shows that disability is a factor in income differentials for M</w:t>
      </w:r>
      <w:r>
        <w:rPr>
          <w:rFonts w:ascii="Arial" w:hAnsi="Arial"/>
        </w:rPr>
        <w:t>ā</w:t>
      </w:r>
      <w:r>
        <w:t>ori. For example, 25 percent of disabled M</w:t>
      </w:r>
      <w:r>
        <w:rPr>
          <w:rFonts w:ascii="Arial" w:hAnsi="Arial"/>
        </w:rPr>
        <w:t>ā</w:t>
      </w:r>
      <w:r>
        <w:t xml:space="preserve">ori </w:t>
      </w:r>
      <w:r w:rsidR="00C76E01">
        <w:t xml:space="preserve">adults said </w:t>
      </w:r>
      <w:r>
        <w:t>that they do not have sufficient money for ever</w:t>
      </w:r>
      <w:r w:rsidR="005E58A9">
        <w:t>yday things, compared to only 8 percent</w:t>
      </w:r>
      <w:r>
        <w:t xml:space="preserve"> of their non-disabled peers. Furthermore, around four in ten disabled M</w:t>
      </w:r>
      <w:r>
        <w:rPr>
          <w:rFonts w:ascii="Arial" w:hAnsi="Arial"/>
        </w:rPr>
        <w:t>ā</w:t>
      </w:r>
      <w:r>
        <w:t xml:space="preserve">ori live in </w:t>
      </w:r>
      <w:r w:rsidR="00C76E01">
        <w:t xml:space="preserve">areas defined as </w:t>
      </w:r>
      <w:r>
        <w:t>the most deprived in New Zealand.</w:t>
      </w:r>
      <w:r w:rsidR="0069600F">
        <w:rPr>
          <w:rStyle w:val="FootnoteReference"/>
        </w:rPr>
        <w:footnoteReference w:id="12"/>
      </w:r>
      <w:r>
        <w:t xml:space="preserve"> </w:t>
      </w:r>
    </w:p>
    <w:p w14:paraId="4F468653" w14:textId="77777777" w:rsidR="004A3EB3" w:rsidRPr="00934225" w:rsidRDefault="007718E9" w:rsidP="00AD2A64">
      <w:pPr>
        <w:pStyle w:val="RecLevel1"/>
      </w:pPr>
      <w:r>
        <w:t>As demonstrated in the table below, the intersection of disability and gender is also evident in income differentials.</w:t>
      </w:r>
    </w:p>
    <w:p w14:paraId="5F9BEC00" w14:textId="61E1DB53" w:rsidR="007718E9" w:rsidRDefault="00EC313B" w:rsidP="007718E9">
      <w:r>
        <w:rPr>
          <w:b/>
        </w:rPr>
        <w:t>Table 7</w:t>
      </w:r>
      <w:r w:rsidR="00851AE7">
        <w:rPr>
          <w:b/>
        </w:rPr>
        <w:t xml:space="preserve">: </w:t>
      </w:r>
      <w:r w:rsidR="00F25388">
        <w:rPr>
          <w:b/>
        </w:rPr>
        <w:t>Total personal i</w:t>
      </w:r>
      <w:r w:rsidR="007718E9">
        <w:rPr>
          <w:b/>
        </w:rPr>
        <w:t>ncome of disabled and non-d</w:t>
      </w:r>
      <w:r w:rsidR="00A37633">
        <w:rPr>
          <w:b/>
        </w:rPr>
        <w:t>isabled women and disabled</w:t>
      </w:r>
      <w:r w:rsidR="00026071">
        <w:rPr>
          <w:b/>
        </w:rPr>
        <w:t xml:space="preserve"> and non-disabled</w:t>
      </w:r>
      <w:r w:rsidR="00A37633">
        <w:rPr>
          <w:b/>
        </w:rPr>
        <w:t xml:space="preserve"> men</w:t>
      </w:r>
      <w:r w:rsidR="00F25388">
        <w:rPr>
          <w:b/>
        </w:rPr>
        <w:t xml:space="preserve"> living in private households</w:t>
      </w:r>
    </w:p>
    <w:tbl>
      <w:tblPr>
        <w:tblStyle w:val="TableGrid"/>
        <w:tblW w:w="0" w:type="auto"/>
        <w:tblLook w:val="04A0" w:firstRow="1" w:lastRow="0" w:firstColumn="1" w:lastColumn="0" w:noHBand="0" w:noVBand="1"/>
      </w:tblPr>
      <w:tblGrid>
        <w:gridCol w:w="1920"/>
        <w:gridCol w:w="1918"/>
        <w:gridCol w:w="1919"/>
        <w:gridCol w:w="1914"/>
        <w:gridCol w:w="1725"/>
      </w:tblGrid>
      <w:tr w:rsidR="00026071" w14:paraId="25DFAC04" w14:textId="5347FD72" w:rsidTr="00026071">
        <w:tc>
          <w:tcPr>
            <w:tcW w:w="1920" w:type="dxa"/>
          </w:tcPr>
          <w:p w14:paraId="7BB9B1A2" w14:textId="77777777" w:rsidR="00026071" w:rsidRDefault="00026071" w:rsidP="004124A4">
            <w:r>
              <w:t>Income range</w:t>
            </w:r>
          </w:p>
        </w:tc>
        <w:tc>
          <w:tcPr>
            <w:tcW w:w="1918" w:type="dxa"/>
          </w:tcPr>
          <w:p w14:paraId="1DE09ACD" w14:textId="77777777" w:rsidR="00026071" w:rsidRDefault="00026071" w:rsidP="004124A4">
            <w:r>
              <w:t>Disabled women</w:t>
            </w:r>
          </w:p>
        </w:tc>
        <w:tc>
          <w:tcPr>
            <w:tcW w:w="1919" w:type="dxa"/>
          </w:tcPr>
          <w:p w14:paraId="4C9F6331" w14:textId="77777777" w:rsidR="00026071" w:rsidRDefault="00026071" w:rsidP="004124A4">
            <w:r>
              <w:t>Disabled men</w:t>
            </w:r>
          </w:p>
        </w:tc>
        <w:tc>
          <w:tcPr>
            <w:tcW w:w="1914" w:type="dxa"/>
          </w:tcPr>
          <w:p w14:paraId="19AD3BE6" w14:textId="77777777" w:rsidR="00026071" w:rsidRDefault="00026071" w:rsidP="004124A4">
            <w:r>
              <w:t>Non-disabled women</w:t>
            </w:r>
          </w:p>
        </w:tc>
        <w:tc>
          <w:tcPr>
            <w:tcW w:w="1725" w:type="dxa"/>
          </w:tcPr>
          <w:p w14:paraId="0BD2CDEB" w14:textId="1C6BD418" w:rsidR="00026071" w:rsidRDefault="00026071" w:rsidP="004124A4">
            <w:r>
              <w:t>Non-disabled men</w:t>
            </w:r>
          </w:p>
        </w:tc>
      </w:tr>
      <w:tr w:rsidR="00026071" w14:paraId="3BCA27F5" w14:textId="31325922" w:rsidTr="00026071">
        <w:tc>
          <w:tcPr>
            <w:tcW w:w="1920" w:type="dxa"/>
          </w:tcPr>
          <w:p w14:paraId="10D6D78B" w14:textId="77777777" w:rsidR="00026071" w:rsidRDefault="00026071" w:rsidP="004124A4">
            <w:r>
              <w:t>Total personal income in the last 12 months of $30,000 or less</w:t>
            </w:r>
          </w:p>
        </w:tc>
        <w:tc>
          <w:tcPr>
            <w:tcW w:w="1918" w:type="dxa"/>
          </w:tcPr>
          <w:p w14:paraId="1D17AAEB" w14:textId="77777777" w:rsidR="00026071" w:rsidRDefault="00026071" w:rsidP="004124A4">
            <w:r>
              <w:t>71%</w:t>
            </w:r>
          </w:p>
        </w:tc>
        <w:tc>
          <w:tcPr>
            <w:tcW w:w="1919" w:type="dxa"/>
          </w:tcPr>
          <w:p w14:paraId="3004AE6C" w14:textId="77777777" w:rsidR="00026071" w:rsidRDefault="00026071" w:rsidP="004124A4">
            <w:r>
              <w:t>55%</w:t>
            </w:r>
          </w:p>
        </w:tc>
        <w:tc>
          <w:tcPr>
            <w:tcW w:w="1914" w:type="dxa"/>
          </w:tcPr>
          <w:p w14:paraId="3EA42FCA" w14:textId="77777777" w:rsidR="00026071" w:rsidRDefault="00026071" w:rsidP="004124A4">
            <w:r>
              <w:t>54%</w:t>
            </w:r>
          </w:p>
        </w:tc>
        <w:tc>
          <w:tcPr>
            <w:tcW w:w="1725" w:type="dxa"/>
          </w:tcPr>
          <w:p w14:paraId="73923FFF" w14:textId="14CCDB30" w:rsidR="00026071" w:rsidRDefault="00CB575F" w:rsidP="004124A4">
            <w:r>
              <w:t>35%</w:t>
            </w:r>
          </w:p>
        </w:tc>
      </w:tr>
      <w:tr w:rsidR="00026071" w14:paraId="11728198" w14:textId="4CAE00E3" w:rsidTr="00026071">
        <w:tc>
          <w:tcPr>
            <w:tcW w:w="1920" w:type="dxa"/>
          </w:tcPr>
          <w:p w14:paraId="556BB818" w14:textId="179DAC9F" w:rsidR="00026071" w:rsidRDefault="00026071" w:rsidP="004124A4">
            <w:r>
              <w:t>Total personal inco</w:t>
            </w:r>
            <w:r w:rsidR="00CB575F">
              <w:t>me in the</w:t>
            </w:r>
            <w:r w:rsidR="0081215B">
              <w:t xml:space="preserve"> last 12 months of</w:t>
            </w:r>
            <w:r w:rsidR="00CB575F">
              <w:t xml:space="preserve"> $7</w:t>
            </w:r>
            <w:r>
              <w:t>0,000</w:t>
            </w:r>
            <w:r w:rsidR="0081215B">
              <w:t>+</w:t>
            </w:r>
          </w:p>
        </w:tc>
        <w:tc>
          <w:tcPr>
            <w:tcW w:w="1918" w:type="dxa"/>
          </w:tcPr>
          <w:p w14:paraId="2082659C" w14:textId="662BD973" w:rsidR="00026071" w:rsidRDefault="00CB575F" w:rsidP="004124A4">
            <w:r>
              <w:t>5</w:t>
            </w:r>
            <w:r w:rsidR="00026071">
              <w:t>%</w:t>
            </w:r>
          </w:p>
        </w:tc>
        <w:tc>
          <w:tcPr>
            <w:tcW w:w="1919" w:type="dxa"/>
          </w:tcPr>
          <w:p w14:paraId="4580D2EF" w14:textId="66BEE857" w:rsidR="00026071" w:rsidRDefault="0081215B" w:rsidP="004124A4">
            <w:r>
              <w:t>10%</w:t>
            </w:r>
          </w:p>
        </w:tc>
        <w:tc>
          <w:tcPr>
            <w:tcW w:w="1914" w:type="dxa"/>
          </w:tcPr>
          <w:p w14:paraId="7A28FCAD" w14:textId="44E42DC4" w:rsidR="00026071" w:rsidRDefault="0081215B" w:rsidP="004124A4">
            <w:r>
              <w:t>11%</w:t>
            </w:r>
          </w:p>
        </w:tc>
        <w:tc>
          <w:tcPr>
            <w:tcW w:w="1725" w:type="dxa"/>
          </w:tcPr>
          <w:p w14:paraId="4A64E9D8" w14:textId="16F41F7D" w:rsidR="00026071" w:rsidRDefault="0081215B" w:rsidP="004124A4">
            <w:r>
              <w:t>24%</w:t>
            </w:r>
          </w:p>
        </w:tc>
      </w:tr>
    </w:tbl>
    <w:p w14:paraId="70E26AB9" w14:textId="5BEC3374" w:rsidR="007718E9" w:rsidRDefault="007718E9" w:rsidP="006C62D8">
      <w:pPr>
        <w:pStyle w:val="RecLevel1"/>
      </w:pPr>
      <w:r>
        <w:t>Almost three-quarters of disabled women had a total personal income of $30,000 or less in the last 12 months, whereas over half of disabled men had this income.</w:t>
      </w:r>
      <w:r w:rsidR="00004518">
        <w:t xml:space="preserve"> Only 5% of disabled women earned over $70,000, compared to 10% of their disabled male peers.</w:t>
      </w:r>
    </w:p>
    <w:p w14:paraId="39C03F08" w14:textId="77777777" w:rsidR="00D42F1A" w:rsidRPr="00116B4D" w:rsidRDefault="00D86383" w:rsidP="00D42F1A">
      <w:pPr>
        <w:pStyle w:val="Heading4"/>
        <w:rPr>
          <w:lang w:val="en-NZ"/>
        </w:rPr>
      </w:pPr>
      <w:r>
        <w:rPr>
          <w:lang w:val="en-NZ"/>
        </w:rPr>
        <w:t>Poverty has an impact on the</w:t>
      </w:r>
      <w:r w:rsidR="00B06EA2">
        <w:rPr>
          <w:lang w:val="en-NZ"/>
        </w:rPr>
        <w:t xml:space="preserve"> daily</w:t>
      </w:r>
      <w:r w:rsidR="003A08DA">
        <w:rPr>
          <w:lang w:val="en-NZ"/>
        </w:rPr>
        <w:t xml:space="preserve"> lives</w:t>
      </w:r>
      <w:r w:rsidR="00116B4D">
        <w:rPr>
          <w:lang w:val="en-NZ"/>
        </w:rPr>
        <w:t xml:space="preserve"> </w:t>
      </w:r>
      <w:r>
        <w:rPr>
          <w:lang w:val="en-NZ"/>
        </w:rPr>
        <w:t>of disabled people</w:t>
      </w:r>
    </w:p>
    <w:p w14:paraId="1F3EDFDD" w14:textId="4C8DA4B8" w:rsidR="007718E9" w:rsidRDefault="00396E8B" w:rsidP="006C62D8">
      <w:pPr>
        <w:pStyle w:val="RecLevel1"/>
      </w:pPr>
      <w:r>
        <w:rPr>
          <w:rStyle w:val="RecLevel1Char"/>
        </w:rPr>
        <w:t>Given that almost two</w:t>
      </w:r>
      <w:r w:rsidR="007718E9" w:rsidRPr="006C62D8">
        <w:rPr>
          <w:rStyle w:val="RecLevel1Char"/>
        </w:rPr>
        <w:t>-third</w:t>
      </w:r>
      <w:r>
        <w:rPr>
          <w:rStyle w:val="RecLevel1Char"/>
        </w:rPr>
        <w:t>s</w:t>
      </w:r>
      <w:r w:rsidR="007718E9" w:rsidRPr="006C62D8">
        <w:rPr>
          <w:rStyle w:val="RecLevel1Char"/>
        </w:rPr>
        <w:t xml:space="preserve"> of disabled people, as previously mentioned, have a total </w:t>
      </w:r>
      <w:r w:rsidR="00D32CDA">
        <w:rPr>
          <w:rStyle w:val="RecLevel1Char"/>
        </w:rPr>
        <w:t>personal income below $30,000,</w:t>
      </w:r>
      <w:r w:rsidR="007718E9" w:rsidRPr="006C62D8">
        <w:rPr>
          <w:rStyle w:val="RecLevel1Char"/>
        </w:rPr>
        <w:t xml:space="preserve"> it is not surprising that a number of interviewees in the Convention Coalition report, Participation and Poverty (2015a), discussed the issue of inequality between</w:t>
      </w:r>
      <w:r w:rsidR="007718E9">
        <w:t xml:space="preserve"> the ‘rich’ and ‘poor’ and the potential impact of this situation on disabled pe</w:t>
      </w:r>
      <w:r w:rsidR="003F7782">
        <w:t xml:space="preserve">ople. </w:t>
      </w:r>
    </w:p>
    <w:p w14:paraId="4A1EDF7A" w14:textId="77777777" w:rsidR="007718E9" w:rsidRDefault="003F7782" w:rsidP="006C62D8">
      <w:pPr>
        <w:pStyle w:val="RecLevel1"/>
      </w:pPr>
      <w:r>
        <w:lastRenderedPageBreak/>
        <w:t>One interviewee commented:</w:t>
      </w:r>
      <w:r w:rsidR="004E2322">
        <w:t xml:space="preserve"> </w:t>
      </w:r>
      <w:r w:rsidR="00356C2F">
        <w:t>‘</w:t>
      </w:r>
      <w:r w:rsidR="007718E9" w:rsidRPr="00190E69">
        <w:t>… the cost of living … you know, that’s</w:t>
      </w:r>
      <w:r w:rsidR="007718E9">
        <w:t xml:space="preserve"> a huge issue in our community right now, … the rich are getting richer and the poor are getting poorer, and it’s getting wider and I think that – I think that’s really starting to kick in for disabled people.</w:t>
      </w:r>
      <w:r w:rsidR="00356C2F">
        <w:t>’</w:t>
      </w:r>
      <w:r w:rsidR="007718E9">
        <w:t xml:space="preserve"> </w:t>
      </w:r>
      <w:r w:rsidR="007718E9" w:rsidRPr="007B161F">
        <w:t>(2015a:29)</w:t>
      </w:r>
      <w:r w:rsidR="007718E9" w:rsidRPr="00190E69">
        <w:t xml:space="preserve">  </w:t>
      </w:r>
    </w:p>
    <w:p w14:paraId="1D701C05" w14:textId="77777777" w:rsidR="007718E9" w:rsidRDefault="007718E9" w:rsidP="006C62D8">
      <w:pPr>
        <w:pStyle w:val="RecLevel1"/>
      </w:pPr>
      <w:r>
        <w:t>The relationship between poverty and disability was highlighted when interviewees spoke about their access to resources and services.</w:t>
      </w:r>
      <w:r w:rsidR="004E2322">
        <w:t xml:space="preserve"> </w:t>
      </w:r>
    </w:p>
    <w:p w14:paraId="70EFB757" w14:textId="77777777" w:rsidR="007718E9" w:rsidRPr="007B161F" w:rsidRDefault="004E2322" w:rsidP="006C62D8">
      <w:pPr>
        <w:pStyle w:val="RecLevel1"/>
      </w:pPr>
      <w:r>
        <w:t xml:space="preserve">As one research participant observed: </w:t>
      </w:r>
      <w:r w:rsidR="00356C2F">
        <w:t>‘</w:t>
      </w:r>
      <w:r w:rsidR="007718E9">
        <w:t>Well it can be tough to get the resources you might need. Tough to get housing close enough to areas which have transport. Tough to get the equipment that you might need and also potentially the education that you might need as well so it can be quite cumulative.</w:t>
      </w:r>
      <w:r w:rsidR="00356C2F">
        <w:t>’</w:t>
      </w:r>
      <w:r w:rsidR="007718E9">
        <w:t xml:space="preserve"> </w:t>
      </w:r>
      <w:r w:rsidR="007718E9" w:rsidRPr="007B161F">
        <w:t>(2015a:30-31)</w:t>
      </w:r>
    </w:p>
    <w:p w14:paraId="37598868" w14:textId="77777777" w:rsidR="007718E9" w:rsidRDefault="007718E9" w:rsidP="006C62D8">
      <w:pPr>
        <w:pStyle w:val="RecLevel1"/>
      </w:pPr>
      <w:r>
        <w:t>Research participants also pointed out that having a disability is seen as often creating extra costs which financially disadvantage some disabled people. Higher travel and transport costs are a significant issue.</w:t>
      </w:r>
    </w:p>
    <w:p w14:paraId="00D2C4BE" w14:textId="77777777" w:rsidR="007718E9" w:rsidRDefault="003C49B8" w:rsidP="00ED5612">
      <w:pPr>
        <w:pStyle w:val="Heading4"/>
      </w:pPr>
      <w:r>
        <w:rPr>
          <w:lang w:val="en-NZ"/>
        </w:rPr>
        <w:t>Disabled people are less likely to feel healthy compared to non-disabled people</w:t>
      </w:r>
    </w:p>
    <w:p w14:paraId="30D26106" w14:textId="77777777" w:rsidR="00243571" w:rsidRDefault="007718E9" w:rsidP="002A2548">
      <w:pPr>
        <w:pStyle w:val="RecLevel1"/>
      </w:pPr>
      <w:r>
        <w:t>When asked to report on their health status in the Disa</w:t>
      </w:r>
      <w:r w:rsidR="000D1DD9">
        <w:t xml:space="preserve">bility Survey, </w:t>
      </w:r>
      <w:r>
        <w:t>disabled people are less likely to feel healthy.</w:t>
      </w:r>
    </w:p>
    <w:p w14:paraId="11E0FF45" w14:textId="77777777" w:rsidR="00243571" w:rsidRPr="00243571" w:rsidRDefault="00243571" w:rsidP="00243571">
      <w:pPr>
        <w:pStyle w:val="RecLevel1"/>
        <w:numPr>
          <w:ilvl w:val="0"/>
          <w:numId w:val="0"/>
        </w:numPr>
        <w:rPr>
          <w:b/>
        </w:rPr>
      </w:pPr>
      <w:r>
        <w:rPr>
          <w:b/>
        </w:rPr>
        <w:t>Table 8: Self-reported health status of disabled and non-disabled people</w:t>
      </w:r>
    </w:p>
    <w:tbl>
      <w:tblPr>
        <w:tblStyle w:val="TableGrid"/>
        <w:tblW w:w="0" w:type="auto"/>
        <w:tblInd w:w="567" w:type="dxa"/>
        <w:tblLook w:val="04A0" w:firstRow="1" w:lastRow="0" w:firstColumn="1" w:lastColumn="0" w:noHBand="0" w:noVBand="1"/>
      </w:tblPr>
      <w:tblGrid>
        <w:gridCol w:w="2935"/>
        <w:gridCol w:w="2948"/>
        <w:gridCol w:w="2946"/>
      </w:tblGrid>
      <w:tr w:rsidR="00243571" w14:paraId="5B0F86C7" w14:textId="77777777" w:rsidTr="00243571">
        <w:tc>
          <w:tcPr>
            <w:tcW w:w="3132" w:type="dxa"/>
          </w:tcPr>
          <w:p w14:paraId="7FADC21B" w14:textId="77777777" w:rsidR="00243571" w:rsidRPr="00243571" w:rsidRDefault="00243571" w:rsidP="00243571">
            <w:pPr>
              <w:pStyle w:val="RecLevel1"/>
              <w:numPr>
                <w:ilvl w:val="0"/>
                <w:numId w:val="0"/>
              </w:numPr>
            </w:pPr>
            <w:r>
              <w:t>Health status</w:t>
            </w:r>
          </w:p>
        </w:tc>
        <w:tc>
          <w:tcPr>
            <w:tcW w:w="3132" w:type="dxa"/>
          </w:tcPr>
          <w:p w14:paraId="47FC8BAB" w14:textId="77777777" w:rsidR="00243571" w:rsidRPr="00243571" w:rsidRDefault="00243571" w:rsidP="00243571">
            <w:pPr>
              <w:pStyle w:val="RecLevel1"/>
              <w:numPr>
                <w:ilvl w:val="0"/>
                <w:numId w:val="0"/>
              </w:numPr>
            </w:pPr>
            <w:r>
              <w:t>Disabled people</w:t>
            </w:r>
          </w:p>
        </w:tc>
        <w:tc>
          <w:tcPr>
            <w:tcW w:w="3132" w:type="dxa"/>
          </w:tcPr>
          <w:p w14:paraId="3E86F91C" w14:textId="77777777" w:rsidR="00243571" w:rsidRPr="00243571" w:rsidRDefault="00243571" w:rsidP="00243571">
            <w:pPr>
              <w:pStyle w:val="RecLevel1"/>
              <w:numPr>
                <w:ilvl w:val="0"/>
                <w:numId w:val="0"/>
              </w:numPr>
            </w:pPr>
            <w:r>
              <w:t>Non-disabled people</w:t>
            </w:r>
          </w:p>
        </w:tc>
      </w:tr>
      <w:tr w:rsidR="00243571" w14:paraId="1D2B5E4E" w14:textId="77777777" w:rsidTr="00243571">
        <w:tc>
          <w:tcPr>
            <w:tcW w:w="3132" w:type="dxa"/>
          </w:tcPr>
          <w:p w14:paraId="7DB277CD" w14:textId="77777777" w:rsidR="00243571" w:rsidRPr="00243571" w:rsidRDefault="00243571" w:rsidP="00243571">
            <w:pPr>
              <w:pStyle w:val="RecLevel1"/>
              <w:numPr>
                <w:ilvl w:val="0"/>
                <w:numId w:val="0"/>
              </w:numPr>
            </w:pPr>
            <w:r>
              <w:t>Health is very good</w:t>
            </w:r>
          </w:p>
        </w:tc>
        <w:tc>
          <w:tcPr>
            <w:tcW w:w="3132" w:type="dxa"/>
          </w:tcPr>
          <w:p w14:paraId="42AAE8CF" w14:textId="77777777" w:rsidR="00243571" w:rsidRPr="00243571" w:rsidRDefault="00243571" w:rsidP="00243571">
            <w:pPr>
              <w:pStyle w:val="RecLevel1"/>
              <w:numPr>
                <w:ilvl w:val="0"/>
                <w:numId w:val="0"/>
              </w:numPr>
            </w:pPr>
            <w:r>
              <w:t>26%</w:t>
            </w:r>
          </w:p>
        </w:tc>
        <w:tc>
          <w:tcPr>
            <w:tcW w:w="3132" w:type="dxa"/>
          </w:tcPr>
          <w:p w14:paraId="31B2386C" w14:textId="77777777" w:rsidR="00243571" w:rsidRPr="00243571" w:rsidRDefault="00243571" w:rsidP="00243571">
            <w:pPr>
              <w:pStyle w:val="RecLevel1"/>
              <w:numPr>
                <w:ilvl w:val="0"/>
                <w:numId w:val="0"/>
              </w:numPr>
            </w:pPr>
            <w:r>
              <w:t>40%</w:t>
            </w:r>
          </w:p>
        </w:tc>
      </w:tr>
      <w:tr w:rsidR="00243571" w14:paraId="636E138E" w14:textId="77777777" w:rsidTr="00243571">
        <w:tc>
          <w:tcPr>
            <w:tcW w:w="3132" w:type="dxa"/>
          </w:tcPr>
          <w:p w14:paraId="23CD8C5C" w14:textId="77777777" w:rsidR="00243571" w:rsidRPr="00243571" w:rsidRDefault="00243571" w:rsidP="00243571">
            <w:pPr>
              <w:pStyle w:val="RecLevel1"/>
              <w:numPr>
                <w:ilvl w:val="0"/>
                <w:numId w:val="0"/>
              </w:numPr>
            </w:pPr>
            <w:r>
              <w:t>Health is poor</w:t>
            </w:r>
          </w:p>
        </w:tc>
        <w:tc>
          <w:tcPr>
            <w:tcW w:w="3132" w:type="dxa"/>
          </w:tcPr>
          <w:p w14:paraId="1F8E7DD7" w14:textId="77777777" w:rsidR="00243571" w:rsidRPr="00243571" w:rsidRDefault="00243571" w:rsidP="00243571">
            <w:pPr>
              <w:pStyle w:val="RecLevel1"/>
              <w:numPr>
                <w:ilvl w:val="0"/>
                <w:numId w:val="0"/>
              </w:numPr>
              <w:spacing w:line="360" w:lineRule="auto"/>
            </w:pPr>
            <w:r>
              <w:t>8%</w:t>
            </w:r>
          </w:p>
        </w:tc>
        <w:tc>
          <w:tcPr>
            <w:tcW w:w="3132" w:type="dxa"/>
          </w:tcPr>
          <w:p w14:paraId="387E6178" w14:textId="166BB966" w:rsidR="00243571" w:rsidRPr="00243571" w:rsidRDefault="00680FE1" w:rsidP="00243571">
            <w:pPr>
              <w:pStyle w:val="RecLevel1"/>
              <w:numPr>
                <w:ilvl w:val="0"/>
                <w:numId w:val="0"/>
              </w:numPr>
            </w:pPr>
            <w:r>
              <w:t>1</w:t>
            </w:r>
            <w:r w:rsidR="00243571">
              <w:t>%</w:t>
            </w:r>
          </w:p>
        </w:tc>
      </w:tr>
    </w:tbl>
    <w:p w14:paraId="10F11C0F" w14:textId="77777777" w:rsidR="007718E9" w:rsidRPr="00243571" w:rsidRDefault="007718E9" w:rsidP="00243571">
      <w:pPr>
        <w:pStyle w:val="RecLevel1"/>
      </w:pPr>
      <w:r w:rsidRPr="00243571">
        <w:t>Regarding the health status of Māori, almost 33 percent of disabled Māori rate their health as fair or poor, whereas the equivalent figure for the</w:t>
      </w:r>
      <w:r w:rsidR="00EE4574" w:rsidRPr="00243571">
        <w:t>ir non-disabled peers is only 6 percent</w:t>
      </w:r>
      <w:r w:rsidRPr="00243571">
        <w:t>.</w:t>
      </w:r>
    </w:p>
    <w:p w14:paraId="0CCE2D64" w14:textId="45DC8ECE" w:rsidR="007718E9" w:rsidRDefault="003047EE" w:rsidP="002A2548">
      <w:pPr>
        <w:pStyle w:val="RecLevel1"/>
      </w:pPr>
      <w:r>
        <w:t>There is no real difference by gender in self-assessed health status for disabled adults. For example,</w:t>
      </w:r>
      <w:r w:rsidR="007718E9">
        <w:t xml:space="preserve"> 21 percent of</w:t>
      </w:r>
      <w:r>
        <w:t xml:space="preserve"> both</w:t>
      </w:r>
      <w:r w:rsidR="007718E9">
        <w:t xml:space="preserve"> disabled women</w:t>
      </w:r>
      <w:r>
        <w:t xml:space="preserve"> and disabled men</w:t>
      </w:r>
      <w:r w:rsidR="007718E9">
        <w:t xml:space="preserve"> report their health as fair. The equi</w:t>
      </w:r>
      <w:r>
        <w:t>valent figures for</w:t>
      </w:r>
      <w:r w:rsidR="00375912">
        <w:t xml:space="preserve"> non-disabled women</w:t>
      </w:r>
      <w:r>
        <w:t xml:space="preserve"> is 4</w:t>
      </w:r>
      <w:r w:rsidR="00375912">
        <w:t xml:space="preserve"> percent</w:t>
      </w:r>
      <w:r>
        <w:t xml:space="preserve">. </w:t>
      </w:r>
    </w:p>
    <w:p w14:paraId="5CB002CF" w14:textId="77777777" w:rsidR="006B0A10" w:rsidRPr="006B0A10" w:rsidRDefault="00C834B0" w:rsidP="006B0A10">
      <w:pPr>
        <w:pStyle w:val="Heading4"/>
        <w:rPr>
          <w:lang w:val="en-NZ"/>
        </w:rPr>
      </w:pPr>
      <w:r>
        <w:rPr>
          <w:lang w:val="en-NZ"/>
        </w:rPr>
        <w:t>Disabled people are</w:t>
      </w:r>
      <w:r w:rsidR="006B0A10">
        <w:rPr>
          <w:lang w:val="en-NZ"/>
        </w:rPr>
        <w:t xml:space="preserve"> concern</w:t>
      </w:r>
      <w:r>
        <w:rPr>
          <w:lang w:val="en-NZ"/>
        </w:rPr>
        <w:t>ed</w:t>
      </w:r>
      <w:r w:rsidR="006B0A10">
        <w:rPr>
          <w:lang w:val="en-NZ"/>
        </w:rPr>
        <w:t xml:space="preserve"> about</w:t>
      </w:r>
      <w:r w:rsidR="00D42F1A">
        <w:rPr>
          <w:lang w:val="en-NZ"/>
        </w:rPr>
        <w:t xml:space="preserve"> barriers in</w:t>
      </w:r>
      <w:r w:rsidR="006B0A10">
        <w:rPr>
          <w:lang w:val="en-NZ"/>
        </w:rPr>
        <w:t xml:space="preserve"> access</w:t>
      </w:r>
      <w:r w:rsidR="00D42F1A">
        <w:rPr>
          <w:lang w:val="en-NZ"/>
        </w:rPr>
        <w:t>ing</w:t>
      </w:r>
      <w:r w:rsidR="006B0A10">
        <w:rPr>
          <w:lang w:val="en-NZ"/>
        </w:rPr>
        <w:t xml:space="preserve"> health services</w:t>
      </w:r>
      <w:r w:rsidR="00116B4D">
        <w:rPr>
          <w:lang w:val="en-NZ"/>
        </w:rPr>
        <w:t xml:space="preserve"> and the negative attitudes of health professionals</w:t>
      </w:r>
    </w:p>
    <w:p w14:paraId="6768A2DA" w14:textId="77777777" w:rsidR="007718E9" w:rsidRDefault="007718E9" w:rsidP="002A2548">
      <w:pPr>
        <w:pStyle w:val="RecLevel1"/>
      </w:pPr>
      <w:r>
        <w:t>References to negative experiences regarding health services emerged as a significant issue in the Convention Coalition’s 2010 and 2012 research reports. Issues raised include:</w:t>
      </w:r>
    </w:p>
    <w:p w14:paraId="343C755D" w14:textId="77777777" w:rsidR="007718E9" w:rsidRDefault="007718E9" w:rsidP="0014125F">
      <w:pPr>
        <w:pStyle w:val="Bullet1"/>
      </w:pPr>
      <w:r>
        <w:t>disabled people’s experience of:</w:t>
      </w:r>
    </w:p>
    <w:p w14:paraId="0E6F4768" w14:textId="77777777" w:rsidR="007718E9" w:rsidRDefault="007718E9" w:rsidP="0014125F">
      <w:pPr>
        <w:pStyle w:val="Bullet2"/>
      </w:pPr>
      <w:r>
        <w:t>negative dignity</w:t>
      </w:r>
    </w:p>
    <w:p w14:paraId="5E13135B" w14:textId="77777777" w:rsidR="007718E9" w:rsidRDefault="007718E9" w:rsidP="0014125F">
      <w:pPr>
        <w:pStyle w:val="Bullet2"/>
      </w:pPr>
      <w:r>
        <w:t>disrespect for difference</w:t>
      </w:r>
    </w:p>
    <w:p w14:paraId="1CDA7B34" w14:textId="77777777" w:rsidR="007718E9" w:rsidRDefault="007718E9" w:rsidP="0014125F">
      <w:pPr>
        <w:pStyle w:val="Bullet2"/>
      </w:pPr>
      <w:r>
        <w:t>lack of autonomy</w:t>
      </w:r>
    </w:p>
    <w:p w14:paraId="04B53803" w14:textId="77777777" w:rsidR="007718E9" w:rsidRDefault="007718E9" w:rsidP="0014125F">
      <w:pPr>
        <w:pStyle w:val="Bullet2"/>
      </w:pPr>
      <w:r>
        <w:t>discrimination and inequality</w:t>
      </w:r>
    </w:p>
    <w:p w14:paraId="37326E75" w14:textId="77777777" w:rsidR="007718E9" w:rsidRPr="00F516DD" w:rsidRDefault="007718E9" w:rsidP="0014125F">
      <w:pPr>
        <w:pStyle w:val="Bullet2"/>
      </w:pPr>
      <w:r>
        <w:t>segregation and isolation</w:t>
      </w:r>
    </w:p>
    <w:p w14:paraId="24C44E28" w14:textId="77777777" w:rsidR="007718E9" w:rsidRDefault="007718E9" w:rsidP="0014125F">
      <w:pPr>
        <w:pStyle w:val="Bullet1"/>
      </w:pPr>
      <w:r>
        <w:t>lack of access to information in alternative formats, including Easy Read</w:t>
      </w:r>
    </w:p>
    <w:p w14:paraId="19F70B3B" w14:textId="77777777" w:rsidR="007718E9" w:rsidRDefault="007718E9" w:rsidP="0014125F">
      <w:pPr>
        <w:pStyle w:val="Bullet1"/>
      </w:pPr>
      <w:r>
        <w:t>mobile breast screening vans being inaccessible</w:t>
      </w:r>
    </w:p>
    <w:p w14:paraId="3576A0D7" w14:textId="77777777" w:rsidR="007718E9" w:rsidRDefault="007718E9" w:rsidP="0014125F">
      <w:pPr>
        <w:pStyle w:val="Bullet1"/>
      </w:pPr>
      <w:r>
        <w:t>disabled people not being informed of side-effects of prescribed medications</w:t>
      </w:r>
    </w:p>
    <w:p w14:paraId="230519BF" w14:textId="77777777" w:rsidR="007718E9" w:rsidRDefault="007718E9" w:rsidP="0014125F">
      <w:pPr>
        <w:pStyle w:val="Bullet1"/>
      </w:pPr>
      <w:r>
        <w:t>advanced directives being overruled by clinicians</w:t>
      </w:r>
    </w:p>
    <w:p w14:paraId="15B96C5C" w14:textId="77777777" w:rsidR="00C40FD7" w:rsidRDefault="00C40FD7" w:rsidP="0014125F">
      <w:pPr>
        <w:pStyle w:val="Bullet1"/>
      </w:pPr>
      <w:r>
        <w:t>lack of a comprehensive rehabilitation system in New Zealand</w:t>
      </w:r>
      <w:r w:rsidR="006806CD">
        <w:t>, given fragmentation between the Ministry of Health, ACC and District Health Boards</w:t>
      </w:r>
    </w:p>
    <w:p w14:paraId="057ED334" w14:textId="77777777" w:rsidR="007718E9" w:rsidRDefault="007718E9" w:rsidP="0014125F">
      <w:pPr>
        <w:pStyle w:val="Bullet1"/>
      </w:pPr>
      <w:r>
        <w:t>lack of statistics about disabled people using health services.</w:t>
      </w:r>
    </w:p>
    <w:p w14:paraId="6D7913D5" w14:textId="77777777" w:rsidR="007718E9" w:rsidRDefault="007718E9" w:rsidP="002A2548">
      <w:pPr>
        <w:pStyle w:val="RecLevel1"/>
      </w:pPr>
      <w:r>
        <w:lastRenderedPageBreak/>
        <w:t>The issue of negative attitudes on the part of health professionals arose frequently in the Convention Coalition’s research (2012). Three issues, in particular, were mentioned by the research participants:</w:t>
      </w:r>
    </w:p>
    <w:p w14:paraId="58FAB715" w14:textId="77777777" w:rsidR="007718E9" w:rsidRDefault="007718E9" w:rsidP="00170A49">
      <w:pPr>
        <w:pStyle w:val="Bullet1"/>
      </w:pPr>
      <w:r>
        <w:t>disabled people being denied access to mainstream health services, such as breast and cervical screening and flu vaccinations</w:t>
      </w:r>
    </w:p>
    <w:p w14:paraId="254E7F44" w14:textId="77777777" w:rsidR="007718E9" w:rsidRDefault="007718E9" w:rsidP="00170A49">
      <w:pPr>
        <w:pStyle w:val="Bullet1"/>
      </w:pPr>
      <w:r>
        <w:t>disabled people being unable to access treatment for a range of illnesses</w:t>
      </w:r>
    </w:p>
    <w:p w14:paraId="4F7516FD" w14:textId="77777777" w:rsidR="007718E9" w:rsidRDefault="007718E9" w:rsidP="00170A49">
      <w:pPr>
        <w:pStyle w:val="Bullet1"/>
      </w:pPr>
      <w:r>
        <w:t>health practitioners engaging in diagnostic overshadowing, that is, attributing disabled people’s health problems to their impairment, when this was not the case.</w:t>
      </w:r>
    </w:p>
    <w:p w14:paraId="59FFC618" w14:textId="5FD751E4" w:rsidR="007718E9" w:rsidRDefault="002745C6" w:rsidP="00170A49">
      <w:pPr>
        <w:pStyle w:val="Heading4"/>
        <w:rPr>
          <w:lang w:val="en-NZ"/>
        </w:rPr>
      </w:pPr>
      <w:r>
        <w:rPr>
          <w:lang w:val="en-NZ"/>
        </w:rPr>
        <w:t>Disabled</w:t>
      </w:r>
      <w:r w:rsidR="00CE4EB2">
        <w:rPr>
          <w:lang w:val="en-NZ"/>
        </w:rPr>
        <w:t xml:space="preserve"> and non-disabled</w:t>
      </w:r>
      <w:r>
        <w:rPr>
          <w:lang w:val="en-NZ"/>
        </w:rPr>
        <w:t xml:space="preserve"> people</w:t>
      </w:r>
      <w:r w:rsidR="00CE4EB2">
        <w:rPr>
          <w:lang w:val="en-NZ"/>
        </w:rPr>
        <w:t xml:space="preserve"> feel equally safe at home and in their neighbourhood during the day. However, disabled people</w:t>
      </w:r>
      <w:r>
        <w:rPr>
          <w:lang w:val="en-NZ"/>
        </w:rPr>
        <w:t xml:space="preserve"> are less likely</w:t>
      </w:r>
      <w:r w:rsidR="00CE4EB2">
        <w:rPr>
          <w:lang w:val="en-NZ"/>
        </w:rPr>
        <w:t xml:space="preserve"> than non-disabled people</w:t>
      </w:r>
      <w:r>
        <w:rPr>
          <w:lang w:val="en-NZ"/>
        </w:rPr>
        <w:t xml:space="preserve"> to feel safe</w:t>
      </w:r>
      <w:r w:rsidR="00CE4EB2">
        <w:rPr>
          <w:lang w:val="en-NZ"/>
        </w:rPr>
        <w:t xml:space="preserve"> when out alone in their neighbourhood after dark</w:t>
      </w:r>
      <w:r w:rsidR="007718E9">
        <w:t xml:space="preserve"> </w:t>
      </w:r>
    </w:p>
    <w:p w14:paraId="445F6CEC" w14:textId="77777777" w:rsidR="00630356" w:rsidRDefault="00630356" w:rsidP="002A2548">
      <w:pPr>
        <w:pStyle w:val="RecLevel1"/>
      </w:pPr>
      <w:r w:rsidRPr="00D114A8">
        <w:t>Summary</w:t>
      </w:r>
      <w:r>
        <w:t xml:space="preserve">  </w:t>
      </w:r>
    </w:p>
    <w:p w14:paraId="5814301C" w14:textId="28E44E40" w:rsidR="00630356" w:rsidRDefault="00630356" w:rsidP="00630356">
      <w:pPr>
        <w:pStyle w:val="Bullet1"/>
      </w:pPr>
      <w:r>
        <w:t>Among</w:t>
      </w:r>
      <w:r w:rsidR="00777281">
        <w:t xml:space="preserve"> both</w:t>
      </w:r>
      <w:r>
        <w:t xml:space="preserve"> disabled</w:t>
      </w:r>
      <w:r w:rsidR="00777281">
        <w:t xml:space="preserve"> and non-disabled</w:t>
      </w:r>
      <w:r>
        <w:t xml:space="preserve"> people, gender is a factor in women feeling significantly less safe and secure than men.</w:t>
      </w:r>
    </w:p>
    <w:p w14:paraId="198687DA" w14:textId="6E3BB0F6" w:rsidR="00630356" w:rsidRDefault="00777281" w:rsidP="00630356">
      <w:pPr>
        <w:pStyle w:val="Bullet1"/>
      </w:pPr>
      <w:r>
        <w:t xml:space="preserve">As in the case of the total population, </w:t>
      </w:r>
      <w:r w:rsidR="00630356">
        <w:t xml:space="preserve">gender is a factor in </w:t>
      </w:r>
      <w:r>
        <w:t xml:space="preserve">disabled Māori </w:t>
      </w:r>
      <w:r w:rsidR="00630356">
        <w:t>women feeling significantly less safe and secure than their male peers.</w:t>
      </w:r>
    </w:p>
    <w:p w14:paraId="59167C54" w14:textId="66C28282" w:rsidR="00630356" w:rsidRDefault="00630356" w:rsidP="00630356">
      <w:pPr>
        <w:pStyle w:val="Bullet1"/>
      </w:pPr>
      <w:r>
        <w:t>The available research suggests that the abuse of disabled people in various soc</w:t>
      </w:r>
      <w:r w:rsidR="00AB077C">
        <w:t xml:space="preserve">ial situations is an </w:t>
      </w:r>
      <w:r>
        <w:t>issue.</w:t>
      </w:r>
    </w:p>
    <w:p w14:paraId="4EAC7CF4" w14:textId="68AD15BA" w:rsidR="007718E9" w:rsidRDefault="003D5C32" w:rsidP="00BC0CA3">
      <w:pPr>
        <w:pStyle w:val="RecLevel1"/>
      </w:pPr>
      <w:r>
        <w:t>T</w:t>
      </w:r>
      <w:r w:rsidR="007718E9">
        <w:t>he table below</w:t>
      </w:r>
      <w:r>
        <w:t xml:space="preserve"> shows the percentage of people who</w:t>
      </w:r>
      <w:r w:rsidR="00AB077C">
        <w:t xml:space="preserve"> </w:t>
      </w:r>
      <w:r w:rsidR="007718E9">
        <w:t xml:space="preserve">feel </w:t>
      </w:r>
      <w:r>
        <w:t xml:space="preserve">safe or very safe when out in their neighbourhood </w:t>
      </w:r>
      <w:r w:rsidR="007718E9">
        <w:t>alone after dark</w:t>
      </w:r>
      <w:r>
        <w:t xml:space="preserve">. </w:t>
      </w:r>
      <w:r w:rsidR="007718E9">
        <w:t xml:space="preserve">Disabled women </w:t>
      </w:r>
      <w:r>
        <w:t xml:space="preserve">are less likely to </w:t>
      </w:r>
      <w:r w:rsidR="007718E9">
        <w:t>feel safe than disabled men</w:t>
      </w:r>
      <w:r>
        <w:t xml:space="preserve"> reflecting the gender difference in the total population</w:t>
      </w:r>
      <w:r w:rsidR="007718E9">
        <w:t>.</w:t>
      </w:r>
    </w:p>
    <w:p w14:paraId="4A427FB2" w14:textId="3E2D336C" w:rsidR="007718E9" w:rsidRDefault="00243571" w:rsidP="00BC0CA3">
      <w:r w:rsidRPr="00BC0CA3">
        <w:rPr>
          <w:b/>
        </w:rPr>
        <w:t>Table 9</w:t>
      </w:r>
      <w:r w:rsidR="00170A49" w:rsidRPr="00BC0CA3">
        <w:rPr>
          <w:b/>
        </w:rPr>
        <w:t xml:space="preserve">: </w:t>
      </w:r>
      <w:r w:rsidR="007718E9" w:rsidRPr="00BC0CA3">
        <w:rPr>
          <w:b/>
        </w:rPr>
        <w:t>Feelings of safety among disabled and non-disabled people</w:t>
      </w:r>
      <w:r w:rsidR="00AB077C">
        <w:rPr>
          <w:b/>
        </w:rPr>
        <w:t xml:space="preserve"> when in the</w:t>
      </w:r>
      <w:r w:rsidR="004375E2">
        <w:rPr>
          <w:b/>
        </w:rPr>
        <w:t>ir</w:t>
      </w:r>
      <w:r w:rsidR="00AB077C">
        <w:rPr>
          <w:b/>
        </w:rPr>
        <w:t xml:space="preserve"> neighbourhood alone after dark</w:t>
      </w:r>
    </w:p>
    <w:tbl>
      <w:tblPr>
        <w:tblStyle w:val="TableGrid"/>
        <w:tblW w:w="0" w:type="auto"/>
        <w:tblLook w:val="04A0" w:firstRow="1" w:lastRow="0" w:firstColumn="1" w:lastColumn="0" w:noHBand="0" w:noVBand="1"/>
      </w:tblPr>
      <w:tblGrid>
        <w:gridCol w:w="1787"/>
        <w:gridCol w:w="1491"/>
        <w:gridCol w:w="1491"/>
        <w:gridCol w:w="1491"/>
        <w:gridCol w:w="1491"/>
        <w:gridCol w:w="1491"/>
      </w:tblGrid>
      <w:tr w:rsidR="007718E9" w14:paraId="78484050" w14:textId="77777777" w:rsidTr="004124A4">
        <w:tc>
          <w:tcPr>
            <w:tcW w:w="1787" w:type="dxa"/>
          </w:tcPr>
          <w:p w14:paraId="7429AE72" w14:textId="77777777" w:rsidR="007718E9" w:rsidRDefault="007718E9" w:rsidP="004124A4"/>
        </w:tc>
        <w:tc>
          <w:tcPr>
            <w:tcW w:w="1491" w:type="dxa"/>
          </w:tcPr>
          <w:p w14:paraId="7E1642FF" w14:textId="77777777" w:rsidR="007718E9" w:rsidRDefault="007718E9" w:rsidP="004124A4">
            <w:r>
              <w:t>Disabled people</w:t>
            </w:r>
          </w:p>
        </w:tc>
        <w:tc>
          <w:tcPr>
            <w:tcW w:w="1491" w:type="dxa"/>
          </w:tcPr>
          <w:p w14:paraId="37152CF2" w14:textId="77777777" w:rsidR="007718E9" w:rsidRDefault="007718E9" w:rsidP="004124A4">
            <w:r>
              <w:t>Non-disabled people</w:t>
            </w:r>
          </w:p>
        </w:tc>
        <w:tc>
          <w:tcPr>
            <w:tcW w:w="1491" w:type="dxa"/>
          </w:tcPr>
          <w:p w14:paraId="426A0094" w14:textId="77777777" w:rsidR="007718E9" w:rsidRDefault="007718E9" w:rsidP="004124A4">
            <w:r>
              <w:t>Disabled women</w:t>
            </w:r>
          </w:p>
        </w:tc>
        <w:tc>
          <w:tcPr>
            <w:tcW w:w="1491" w:type="dxa"/>
          </w:tcPr>
          <w:p w14:paraId="77A4FE3C" w14:textId="77777777" w:rsidR="007718E9" w:rsidRDefault="007718E9" w:rsidP="004124A4">
            <w:r>
              <w:t>Disabled men</w:t>
            </w:r>
          </w:p>
        </w:tc>
        <w:tc>
          <w:tcPr>
            <w:tcW w:w="1491" w:type="dxa"/>
          </w:tcPr>
          <w:p w14:paraId="0FBA4726" w14:textId="77777777" w:rsidR="007718E9" w:rsidRDefault="007718E9" w:rsidP="004124A4">
            <w:r>
              <w:t>Non-disabled women</w:t>
            </w:r>
          </w:p>
        </w:tc>
      </w:tr>
      <w:tr w:rsidR="007718E9" w14:paraId="6D4F6127" w14:textId="77777777" w:rsidTr="004124A4">
        <w:tc>
          <w:tcPr>
            <w:tcW w:w="1787" w:type="dxa"/>
          </w:tcPr>
          <w:p w14:paraId="06D83028" w14:textId="08F9F1F5" w:rsidR="007718E9" w:rsidRDefault="008613FE" w:rsidP="003D5C32">
            <w:r>
              <w:t>Feel very safe/safe when in the neighbourhood alone after dark</w:t>
            </w:r>
          </w:p>
        </w:tc>
        <w:tc>
          <w:tcPr>
            <w:tcW w:w="1491" w:type="dxa"/>
          </w:tcPr>
          <w:p w14:paraId="2EBC2202" w14:textId="77C403FD" w:rsidR="007718E9" w:rsidRDefault="001B7667" w:rsidP="004124A4">
            <w:r>
              <w:t>78</w:t>
            </w:r>
            <w:r w:rsidR="007718E9">
              <w:t>%</w:t>
            </w:r>
          </w:p>
        </w:tc>
        <w:tc>
          <w:tcPr>
            <w:tcW w:w="1491" w:type="dxa"/>
          </w:tcPr>
          <w:p w14:paraId="02717867" w14:textId="35DA05C2" w:rsidR="007718E9" w:rsidRDefault="001B7667" w:rsidP="004124A4">
            <w:r>
              <w:t>86</w:t>
            </w:r>
            <w:r w:rsidR="007718E9">
              <w:t>%</w:t>
            </w:r>
          </w:p>
        </w:tc>
        <w:tc>
          <w:tcPr>
            <w:tcW w:w="1491" w:type="dxa"/>
          </w:tcPr>
          <w:p w14:paraId="5624BA71" w14:textId="081BBF44" w:rsidR="007718E9" w:rsidRDefault="00BC0CA3" w:rsidP="001B7667">
            <w:r>
              <w:t>6</w:t>
            </w:r>
            <w:r w:rsidR="001B7667">
              <w:t>7</w:t>
            </w:r>
            <w:r w:rsidR="007718E9">
              <w:t>%</w:t>
            </w:r>
          </w:p>
        </w:tc>
        <w:tc>
          <w:tcPr>
            <w:tcW w:w="1491" w:type="dxa"/>
          </w:tcPr>
          <w:p w14:paraId="5A1175A4" w14:textId="2B855ABD" w:rsidR="007718E9" w:rsidRDefault="001B7667" w:rsidP="001B7667">
            <w:r>
              <w:t>8</w:t>
            </w:r>
            <w:r w:rsidR="007718E9">
              <w:t>7%</w:t>
            </w:r>
          </w:p>
        </w:tc>
        <w:tc>
          <w:tcPr>
            <w:tcW w:w="1491" w:type="dxa"/>
          </w:tcPr>
          <w:p w14:paraId="6ADAF755" w14:textId="35F6BFA1" w:rsidR="007718E9" w:rsidRDefault="001B7667" w:rsidP="001B7667">
            <w:r>
              <w:t>78</w:t>
            </w:r>
            <w:r w:rsidR="007718E9">
              <w:t>%</w:t>
            </w:r>
          </w:p>
        </w:tc>
      </w:tr>
    </w:tbl>
    <w:p w14:paraId="194EF6F4" w14:textId="678AD92B" w:rsidR="007718E9" w:rsidRDefault="003D5C32" w:rsidP="002A2548">
      <w:pPr>
        <w:pStyle w:val="RecLevel1"/>
      </w:pPr>
      <w:r>
        <w:t xml:space="preserve">For disabled </w:t>
      </w:r>
      <w:r w:rsidR="007718E9">
        <w:t>M</w:t>
      </w:r>
      <w:r w:rsidR="007718E9">
        <w:rPr>
          <w:rFonts w:ascii="Arial" w:hAnsi="Arial"/>
        </w:rPr>
        <w:t>ā</w:t>
      </w:r>
      <w:r w:rsidR="007718E9">
        <w:t>ori 75 percent of adults who go out alone after dark feel safe</w:t>
      </w:r>
      <w:r>
        <w:t xml:space="preserve"> or very safe</w:t>
      </w:r>
      <w:r w:rsidR="007718E9">
        <w:t xml:space="preserve"> doing so, compared to 83 percent of non-disabled </w:t>
      </w:r>
      <w:r>
        <w:t xml:space="preserve">Maori </w:t>
      </w:r>
      <w:r w:rsidR="007718E9">
        <w:t xml:space="preserve">adults. </w:t>
      </w:r>
    </w:p>
    <w:p w14:paraId="0564A3C5" w14:textId="6CBD66F4" w:rsidR="007718E9" w:rsidRPr="00277237" w:rsidRDefault="003D5C32" w:rsidP="002A2548">
      <w:pPr>
        <w:pStyle w:val="RecLevel1"/>
      </w:pPr>
      <w:r>
        <w:t xml:space="preserve">Eighty-nine </w:t>
      </w:r>
      <w:r w:rsidR="007718E9" w:rsidRPr="00277237">
        <w:t xml:space="preserve">percent of disabled Māori men feel very safe/safe alone in the neighbourhood after dark, </w:t>
      </w:r>
      <w:r>
        <w:t xml:space="preserve">compared with </w:t>
      </w:r>
      <w:r w:rsidR="00277237" w:rsidRPr="00277237">
        <w:t xml:space="preserve"> </w:t>
      </w:r>
      <w:r>
        <w:t xml:space="preserve">64 </w:t>
      </w:r>
      <w:r w:rsidR="00277237" w:rsidRPr="00277237">
        <w:t>percent</w:t>
      </w:r>
      <w:r w:rsidR="007718E9" w:rsidRPr="00277237">
        <w:t xml:space="preserve"> of disabled Māori women</w:t>
      </w:r>
      <w:r>
        <w:t>.</w:t>
      </w:r>
      <w:r w:rsidR="00444B64">
        <w:t xml:space="preserve">  This also reflects the gender difference in the total population.</w:t>
      </w:r>
    </w:p>
    <w:p w14:paraId="00EB67BB" w14:textId="001C886C" w:rsidR="007718E9" w:rsidRDefault="006E2DBE" w:rsidP="002A2548">
      <w:pPr>
        <w:pStyle w:val="RecLevel1"/>
      </w:pPr>
      <w:r>
        <w:t>There is a lack</w:t>
      </w:r>
      <w:r w:rsidR="007718E9">
        <w:t xml:space="preserve"> of qualitative research in New Zealand reporting on disabled people’s lived experience of safety or lack of it. The fact that,</w:t>
      </w:r>
      <w:r w:rsidR="000F7591">
        <w:t xml:space="preserve"> as stated earlier,</w:t>
      </w:r>
      <w:r w:rsidR="003C7161">
        <w:t xml:space="preserve"> </w:t>
      </w:r>
      <w:r w:rsidR="007718E9">
        <w:t>disabled youth interviewed for the Convention Coalition research (2013a)</w:t>
      </w:r>
      <w:r w:rsidR="000F7591">
        <w:t xml:space="preserve"> reported experiencing</w:t>
      </w:r>
      <w:r w:rsidR="007718E9">
        <w:t xml:space="preserve"> intimidation and bullying at school, </w:t>
      </w:r>
      <w:r w:rsidR="00BA3732">
        <w:t>may</w:t>
      </w:r>
      <w:r w:rsidR="003C7161">
        <w:t xml:space="preserve"> raise issues about the level of safety in the school</w:t>
      </w:r>
      <w:r w:rsidR="007718E9">
        <w:t xml:space="preserve"> environment.</w:t>
      </w:r>
    </w:p>
    <w:p w14:paraId="61F71605" w14:textId="76BB0905" w:rsidR="007718E9" w:rsidRDefault="007718E9" w:rsidP="002A2548">
      <w:pPr>
        <w:pStyle w:val="RecLevel1"/>
      </w:pPr>
      <w:r>
        <w:t>A qualitative study carried out by Roguski (2013),</w:t>
      </w:r>
      <w:r w:rsidR="000F7591">
        <w:t xml:space="preserve"> </w:t>
      </w:r>
      <w:r>
        <w:rPr>
          <w:i/>
        </w:rPr>
        <w:t>The hidden abuse of disabled people residing in the community</w:t>
      </w:r>
      <w:r>
        <w:t>, described experiences of physical, psychological/emotional, sexual and financial abuse. The abuse of disabled people</w:t>
      </w:r>
      <w:r w:rsidR="000F7591">
        <w:t xml:space="preserve"> was reported as taking</w:t>
      </w:r>
      <w:r>
        <w:t xml:space="preserve"> place in residential services, institutional settings, home-based environments and community settings.</w:t>
      </w:r>
    </w:p>
    <w:p w14:paraId="5F14BAA6" w14:textId="5BF2A667" w:rsidR="00D114A8" w:rsidRDefault="006246DE" w:rsidP="002A2548">
      <w:pPr>
        <w:pStyle w:val="RecLevel1"/>
      </w:pPr>
      <w:r>
        <w:lastRenderedPageBreak/>
        <w:t>Abuse was not a major focus</w:t>
      </w:r>
      <w:r w:rsidR="00D114A8">
        <w:t xml:space="preserve"> in another piece of qualitative research undertaken by Mirfin-Veitch and others (2014), </w:t>
      </w:r>
      <w:r w:rsidR="00D114A8">
        <w:rPr>
          <w:i/>
        </w:rPr>
        <w:t>Developing a more responsive legal system for people with intellectual disability in New Zealand.</w:t>
      </w:r>
      <w:r w:rsidR="000F7591">
        <w:rPr>
          <w:i/>
        </w:rPr>
        <w:t xml:space="preserve"> </w:t>
      </w:r>
      <w:r w:rsidR="000F7591">
        <w:t>However, both women and men participating in the research disclosed that they had been physically or sexually abused.</w:t>
      </w:r>
      <w:r w:rsidR="00D114A8">
        <w:t xml:space="preserve"> </w:t>
      </w:r>
    </w:p>
    <w:p w14:paraId="394948C6" w14:textId="4784035D" w:rsidR="007718E9" w:rsidRDefault="00071868" w:rsidP="009658B8">
      <w:pPr>
        <w:pStyle w:val="Heading4"/>
        <w:rPr>
          <w:lang w:val="en-NZ"/>
        </w:rPr>
      </w:pPr>
      <w:r>
        <w:rPr>
          <w:lang w:val="en-NZ"/>
        </w:rPr>
        <w:t>Inability to</w:t>
      </w:r>
      <w:r w:rsidR="000E029B">
        <w:rPr>
          <w:lang w:val="en-NZ"/>
        </w:rPr>
        <w:t xml:space="preserve"> be fully involved</w:t>
      </w:r>
      <w:r w:rsidR="00B92705">
        <w:rPr>
          <w:lang w:val="en-NZ"/>
        </w:rPr>
        <w:t xml:space="preserve"> in social activities a</w:t>
      </w:r>
      <w:r>
        <w:rPr>
          <w:lang w:val="en-NZ"/>
        </w:rPr>
        <w:t>s a barrier to d</w:t>
      </w:r>
      <w:r w:rsidR="006B0A10">
        <w:rPr>
          <w:lang w:val="en-NZ"/>
        </w:rPr>
        <w:t>isabled people</w:t>
      </w:r>
      <w:r>
        <w:rPr>
          <w:lang w:val="en-NZ"/>
        </w:rPr>
        <w:t>’s full participation in society</w:t>
      </w:r>
      <w:r w:rsidR="00B92705">
        <w:rPr>
          <w:lang w:val="en-NZ"/>
        </w:rPr>
        <w:t xml:space="preserve"> is strongly conveyed in the Convention Coalition reports, whereas the Disability Survey data is more nuanced</w:t>
      </w:r>
    </w:p>
    <w:p w14:paraId="4B799EEF" w14:textId="77777777" w:rsidR="00A34738" w:rsidRDefault="00A34738" w:rsidP="002A2548">
      <w:pPr>
        <w:pStyle w:val="RecLevel1"/>
      </w:pPr>
      <w:r>
        <w:t>Summary</w:t>
      </w:r>
    </w:p>
    <w:p w14:paraId="13D309D9" w14:textId="77777777" w:rsidR="00A34738" w:rsidRDefault="00A34738" w:rsidP="00A34738">
      <w:pPr>
        <w:pStyle w:val="Bullet1"/>
      </w:pPr>
      <w:r>
        <w:t>Non-disabled people’s negative attitudes marginalise and exclude disabled people from participating fully in society.</w:t>
      </w:r>
    </w:p>
    <w:p w14:paraId="222D8733" w14:textId="77777777" w:rsidR="00A34738" w:rsidRDefault="00A34738" w:rsidP="00A34738">
      <w:pPr>
        <w:pStyle w:val="Bullet1"/>
      </w:pPr>
      <w:r>
        <w:t xml:space="preserve">Lack of opportunities to participate in recreational activities and access social networks is a significant barrier to disabled people’s participation in society. </w:t>
      </w:r>
    </w:p>
    <w:p w14:paraId="47A8804D" w14:textId="77777777" w:rsidR="00A34738" w:rsidRDefault="00A34738" w:rsidP="00A34738">
      <w:pPr>
        <w:pStyle w:val="Bullet1"/>
      </w:pPr>
      <w:r>
        <w:t xml:space="preserve">The stigma attached to disability among some cultural minorities </w:t>
      </w:r>
      <w:r w:rsidR="00AB6839">
        <w:t>may lead</w:t>
      </w:r>
      <w:r>
        <w:t xml:space="preserve"> to disabled people experiencing social isolation in the community.</w:t>
      </w:r>
    </w:p>
    <w:p w14:paraId="264EDC78" w14:textId="77777777" w:rsidR="00A34738" w:rsidRDefault="00A34738" w:rsidP="00A34738">
      <w:pPr>
        <w:pStyle w:val="Bullet1"/>
      </w:pPr>
      <w:r>
        <w:t xml:space="preserve">The stigma attached to disability in online communities </w:t>
      </w:r>
      <w:r w:rsidR="00AB6839">
        <w:t>may lead</w:t>
      </w:r>
      <w:r>
        <w:t xml:space="preserve"> to disabled young people being intimidated and socially isolated.</w:t>
      </w:r>
    </w:p>
    <w:p w14:paraId="3A6CC0E9" w14:textId="77777777" w:rsidR="007718E9" w:rsidRDefault="007718E9" w:rsidP="002A2548">
      <w:pPr>
        <w:pStyle w:val="RecLevel1"/>
      </w:pPr>
      <w:r>
        <w:t xml:space="preserve">The Disability Survey gathered data on disabled people’s participation in social activities by measuring indicators of both social contact and participation in leisure activities. </w:t>
      </w:r>
    </w:p>
    <w:p w14:paraId="793171E6" w14:textId="6D7FCA51" w:rsidR="007718E9" w:rsidRDefault="00D73DD3" w:rsidP="002A2548">
      <w:pPr>
        <w:pStyle w:val="RecLevel1"/>
      </w:pPr>
      <w:r>
        <w:t>One of the social contact indicators in the table below suggests that disabled and non-disabled people</w:t>
      </w:r>
      <w:r w:rsidR="00DE7A23">
        <w:t xml:space="preserve"> experience</w:t>
      </w:r>
      <w:r w:rsidR="00D32CDA">
        <w:t>d</w:t>
      </w:r>
      <w:r>
        <w:t xml:space="preserve"> the same level of </w:t>
      </w:r>
      <w:r w:rsidR="00D32CDA">
        <w:t>satisfaction in relation to</w:t>
      </w:r>
      <w:r>
        <w:t xml:space="preserve"> the amount of contact with non-resident friends in the last four weeks.</w:t>
      </w:r>
      <w:r w:rsidR="00DE7A23">
        <w:t xml:space="preserve"> However,</w:t>
      </w:r>
      <w:r w:rsidR="007718E9">
        <w:t xml:space="preserve"> </w:t>
      </w:r>
      <w:r w:rsidR="00F4127B">
        <w:t xml:space="preserve">feelings of </w:t>
      </w:r>
      <w:r w:rsidR="007718E9">
        <w:t>loneliness</w:t>
      </w:r>
      <w:r w:rsidR="00DE7A23">
        <w:t xml:space="preserve"> in the last month</w:t>
      </w:r>
      <w:r w:rsidR="007718E9">
        <w:t xml:space="preserve"> </w:t>
      </w:r>
      <w:r w:rsidR="00DE7A23">
        <w:t>were</w:t>
      </w:r>
      <w:r w:rsidR="00F4127B">
        <w:t xml:space="preserve"> more likely to be felt by </w:t>
      </w:r>
      <w:r w:rsidR="007718E9">
        <w:t xml:space="preserve">disabled people </w:t>
      </w:r>
      <w:r w:rsidR="00F4127B">
        <w:t>than</w:t>
      </w:r>
      <w:r w:rsidR="007718E9">
        <w:t xml:space="preserve"> non-disabled people. When gender i</w:t>
      </w:r>
      <w:r w:rsidR="00D63150">
        <w:t>s brought into the equation, 57 percent</w:t>
      </w:r>
      <w:r w:rsidR="007718E9">
        <w:t xml:space="preserve"> of disabled women </w:t>
      </w:r>
      <w:r w:rsidR="00F4127B">
        <w:t xml:space="preserve">did not feel </w:t>
      </w:r>
      <w:r w:rsidR="007718E9">
        <w:t xml:space="preserve">lonely in the last four weeks, </w:t>
      </w:r>
      <w:r w:rsidR="00F4127B">
        <w:t>compared with</w:t>
      </w:r>
      <w:r w:rsidR="00D63150">
        <w:t xml:space="preserve"> 66 percent</w:t>
      </w:r>
      <w:r w:rsidR="007718E9">
        <w:t xml:space="preserve"> of disabled men. This </w:t>
      </w:r>
      <w:r w:rsidR="00F4127B">
        <w:t>reflects similar gender differences in the total population</w:t>
      </w:r>
      <w:r w:rsidR="00DE7A23">
        <w:t>,</w:t>
      </w:r>
      <w:r w:rsidR="00F4127B">
        <w:t xml:space="preserve"> and may </w:t>
      </w:r>
      <w:r w:rsidR="007718E9">
        <w:t>suggest</w:t>
      </w:r>
      <w:r w:rsidR="00DE7A23">
        <w:t xml:space="preserve"> </w:t>
      </w:r>
      <w:r w:rsidR="007718E9">
        <w:t xml:space="preserve">that women have more robust social networks. </w:t>
      </w:r>
    </w:p>
    <w:p w14:paraId="78EB7ACA" w14:textId="77777777" w:rsidR="007718E9" w:rsidRDefault="00243571" w:rsidP="007718E9">
      <w:pPr>
        <w:rPr>
          <w:b/>
        </w:rPr>
      </w:pPr>
      <w:r>
        <w:rPr>
          <w:b/>
        </w:rPr>
        <w:t>Table 10</w:t>
      </w:r>
      <w:r w:rsidR="009658B8">
        <w:rPr>
          <w:b/>
        </w:rPr>
        <w:t xml:space="preserve">: </w:t>
      </w:r>
      <w:r w:rsidR="007718E9">
        <w:rPr>
          <w:b/>
        </w:rPr>
        <w:t>Social contact among disabled and non-disabled people</w:t>
      </w:r>
    </w:p>
    <w:tbl>
      <w:tblPr>
        <w:tblStyle w:val="TableGrid"/>
        <w:tblW w:w="0" w:type="auto"/>
        <w:tblLook w:val="04A0" w:firstRow="1" w:lastRow="0" w:firstColumn="1" w:lastColumn="0" w:noHBand="0" w:noVBand="1"/>
      </w:tblPr>
      <w:tblGrid>
        <w:gridCol w:w="3080"/>
        <w:gridCol w:w="3081"/>
        <w:gridCol w:w="3081"/>
      </w:tblGrid>
      <w:tr w:rsidR="007718E9" w14:paraId="4797C52C" w14:textId="77777777" w:rsidTr="004124A4">
        <w:tc>
          <w:tcPr>
            <w:tcW w:w="3080" w:type="dxa"/>
          </w:tcPr>
          <w:p w14:paraId="7CD2897F" w14:textId="77777777" w:rsidR="007718E9" w:rsidRPr="00247CFA" w:rsidRDefault="007718E9" w:rsidP="004124A4">
            <w:r>
              <w:t>Social connections</w:t>
            </w:r>
          </w:p>
        </w:tc>
        <w:tc>
          <w:tcPr>
            <w:tcW w:w="3081" w:type="dxa"/>
          </w:tcPr>
          <w:p w14:paraId="33F1BF8E" w14:textId="77777777" w:rsidR="007718E9" w:rsidRPr="00247CFA" w:rsidRDefault="007718E9" w:rsidP="004124A4">
            <w:r>
              <w:t>Disabled people</w:t>
            </w:r>
          </w:p>
        </w:tc>
        <w:tc>
          <w:tcPr>
            <w:tcW w:w="3081" w:type="dxa"/>
          </w:tcPr>
          <w:p w14:paraId="5C4E6C26" w14:textId="77777777" w:rsidR="007718E9" w:rsidRPr="00247CFA" w:rsidRDefault="007718E9" w:rsidP="004124A4">
            <w:r>
              <w:t>Non-disabled people</w:t>
            </w:r>
          </w:p>
        </w:tc>
      </w:tr>
      <w:tr w:rsidR="007718E9" w14:paraId="08F5EC3B" w14:textId="77777777" w:rsidTr="004124A4">
        <w:tc>
          <w:tcPr>
            <w:tcW w:w="3080" w:type="dxa"/>
          </w:tcPr>
          <w:p w14:paraId="2473FAE2" w14:textId="4D9B58CC" w:rsidR="007718E9" w:rsidRPr="00247CFA" w:rsidRDefault="00E7757B" w:rsidP="00E7757B">
            <w:r>
              <w:t>Amount of contact</w:t>
            </w:r>
            <w:r w:rsidR="007718E9">
              <w:t xml:space="preserve"> with non-resident friends in the last four weeks</w:t>
            </w:r>
            <w:r>
              <w:t xml:space="preserve"> was about right</w:t>
            </w:r>
          </w:p>
        </w:tc>
        <w:tc>
          <w:tcPr>
            <w:tcW w:w="3081" w:type="dxa"/>
          </w:tcPr>
          <w:p w14:paraId="106C7809" w14:textId="5BAA690B" w:rsidR="007718E9" w:rsidRPr="00B2357B" w:rsidRDefault="007718E9" w:rsidP="00E7757B">
            <w:r>
              <w:t>7</w:t>
            </w:r>
            <w:r w:rsidR="00E7757B">
              <w:t>5</w:t>
            </w:r>
            <w:r>
              <w:t>%</w:t>
            </w:r>
          </w:p>
        </w:tc>
        <w:tc>
          <w:tcPr>
            <w:tcW w:w="3081" w:type="dxa"/>
          </w:tcPr>
          <w:p w14:paraId="2C45B322" w14:textId="77777777" w:rsidR="007718E9" w:rsidRPr="00B2357B" w:rsidRDefault="007718E9" w:rsidP="004124A4">
            <w:r>
              <w:t>75%</w:t>
            </w:r>
          </w:p>
        </w:tc>
      </w:tr>
      <w:tr w:rsidR="007718E9" w14:paraId="4455EBDE" w14:textId="77777777" w:rsidTr="004124A4">
        <w:tc>
          <w:tcPr>
            <w:tcW w:w="3080" w:type="dxa"/>
          </w:tcPr>
          <w:p w14:paraId="5D7454D8" w14:textId="36688E3C" w:rsidR="007718E9" w:rsidRPr="00B2357B" w:rsidRDefault="00F4127B" w:rsidP="00F4127B">
            <w:r>
              <w:t>Did not experience f</w:t>
            </w:r>
            <w:r w:rsidR="007718E9">
              <w:t>eelings of loneliness in the last four weeks</w:t>
            </w:r>
          </w:p>
        </w:tc>
        <w:tc>
          <w:tcPr>
            <w:tcW w:w="3081" w:type="dxa"/>
          </w:tcPr>
          <w:p w14:paraId="52E7D243" w14:textId="64255522" w:rsidR="007718E9" w:rsidRPr="00B2357B" w:rsidRDefault="00F4127B" w:rsidP="004124A4">
            <w:r>
              <w:t>62</w:t>
            </w:r>
            <w:r w:rsidR="007718E9">
              <w:t>%</w:t>
            </w:r>
          </w:p>
        </w:tc>
        <w:tc>
          <w:tcPr>
            <w:tcW w:w="3081" w:type="dxa"/>
          </w:tcPr>
          <w:p w14:paraId="227A2E7B" w14:textId="77777777" w:rsidR="007718E9" w:rsidRPr="00B2357B" w:rsidRDefault="007718E9" w:rsidP="004124A4">
            <w:r>
              <w:t>71%</w:t>
            </w:r>
          </w:p>
        </w:tc>
      </w:tr>
    </w:tbl>
    <w:p w14:paraId="2F466C8E" w14:textId="38572AF3" w:rsidR="007718E9" w:rsidRPr="007D0C33" w:rsidRDefault="007718E9" w:rsidP="00385DD1">
      <w:pPr>
        <w:pStyle w:val="RecLevel1"/>
      </w:pPr>
      <w:r w:rsidRPr="007D0C33">
        <w:t>Regarding social connections among Māori, the vast majority of disabled Māori adults had contact with family and friends in the last four weeks, and most were happy with t</w:t>
      </w:r>
      <w:r w:rsidR="00DE7A23">
        <w:t xml:space="preserve">he amount of contact. </w:t>
      </w:r>
      <w:r w:rsidR="00573AF8">
        <w:t>T</w:t>
      </w:r>
      <w:r w:rsidRPr="007D0C33">
        <w:t>hey were</w:t>
      </w:r>
      <w:r w:rsidR="00DE7A23">
        <w:t xml:space="preserve"> only</w:t>
      </w:r>
      <w:r w:rsidRPr="007D0C33">
        <w:t xml:space="preserve"> slightly less likely to have had such contact, compar</w:t>
      </w:r>
      <w:r w:rsidR="00573AF8">
        <w:t xml:space="preserve">ed to non-disabled Māori adults. </w:t>
      </w:r>
    </w:p>
    <w:p w14:paraId="3BBF534F" w14:textId="38D4B69C" w:rsidR="007718E9" w:rsidRDefault="007718E9" w:rsidP="00385DD1">
      <w:pPr>
        <w:pStyle w:val="RecLevel1"/>
      </w:pPr>
      <w:r>
        <w:t>One indicator of participation in leisure activities for adults and children measured in the Disability Survey was taking a holiday in the last 12 months. Just over half of disabled adults had been on holiday, compared to 7</w:t>
      </w:r>
      <w:r w:rsidR="00335EB6">
        <w:t>2</w:t>
      </w:r>
      <w:r>
        <w:t xml:space="preserve"> percent </w:t>
      </w:r>
      <w:r w:rsidR="009641DC">
        <w:t>of their non-disabled peers. Seventy-six</w:t>
      </w:r>
      <w:r w:rsidR="00405B05">
        <w:t xml:space="preserve"> percent and 85 percent</w:t>
      </w:r>
      <w:r>
        <w:t xml:space="preserve"> of disabled and non-disabled children respectively had taken a holiday.</w:t>
      </w:r>
    </w:p>
    <w:p w14:paraId="35EBE1BB" w14:textId="38D49B30" w:rsidR="007718E9" w:rsidRDefault="007718E9" w:rsidP="00385DD1">
      <w:pPr>
        <w:pStyle w:val="RecLevel1"/>
      </w:pPr>
      <w:r>
        <w:lastRenderedPageBreak/>
        <w:t xml:space="preserve">Social participation emerged as a significant issue for disabled people in the Convention Coalition’s research reports (2010, 2012, 2015b). The intangible barriers to social participation in the social and cultural world such as opportunities to develop friendships, join in recreational activities and gain access to social networks - were highlighted by the disabled participants in the interviews. The interviewees observed that non-disabled people’s negative attitudes towards difference and lack of understanding of impairments marginalise disabled people and lead to social isolation. </w:t>
      </w:r>
      <w:r w:rsidR="00BA3732">
        <w:t>It was reported that p</w:t>
      </w:r>
      <w:r>
        <w:t xml:space="preserve">eople with impairments are ‘being made to feel disabled’. </w:t>
      </w:r>
    </w:p>
    <w:p w14:paraId="353F8938" w14:textId="77777777" w:rsidR="007718E9" w:rsidRDefault="00000FDD" w:rsidP="00385DD1">
      <w:pPr>
        <w:pStyle w:val="RecLevel1"/>
      </w:pPr>
      <w:r>
        <w:t xml:space="preserve">One participant commented: </w:t>
      </w:r>
      <w:r w:rsidR="00126E24">
        <w:t>‘</w:t>
      </w:r>
      <w:r w:rsidR="007718E9">
        <w:t xml:space="preserve">… more recently I’ve taken to judging restaurants, not by the quality of their food or the variety of their menu, but on how blind they make me feel, because </w:t>
      </w:r>
      <w:r w:rsidR="007718E9" w:rsidRPr="00356C2F">
        <w:rPr>
          <w:i/>
        </w:rPr>
        <w:t>I don’t like being made to feel blind</w:t>
      </w:r>
      <w:r w:rsidR="007718E9">
        <w:t xml:space="preserve"> and some people are just brainless, and I think a huge amount more could and should be done in training of staff in how to deal with people with all forms of disability …</w:t>
      </w:r>
      <w:r w:rsidR="00126E24">
        <w:t>’</w:t>
      </w:r>
      <w:r w:rsidR="007718E9">
        <w:t xml:space="preserve"> (2010:42, emphasis in original)</w:t>
      </w:r>
    </w:p>
    <w:p w14:paraId="617FEB5B" w14:textId="77777777" w:rsidR="007718E9" w:rsidRDefault="007718E9" w:rsidP="00385DD1">
      <w:pPr>
        <w:pStyle w:val="RecLevel1"/>
      </w:pPr>
      <w:r>
        <w:t>Research participants from cultural minorities spoke more about not always feeling accepted by their communities</w:t>
      </w:r>
      <w:r w:rsidR="00CD4221">
        <w:t xml:space="preserve">. </w:t>
      </w:r>
    </w:p>
    <w:p w14:paraId="0374DCE0" w14:textId="77777777" w:rsidR="007718E9" w:rsidRDefault="00CD4221" w:rsidP="00385DD1">
      <w:pPr>
        <w:pStyle w:val="RecLevel1"/>
      </w:pPr>
      <w:r>
        <w:t xml:space="preserve">An interviewee from a Pacific Island culture explained: </w:t>
      </w:r>
      <w:r w:rsidR="009643F5">
        <w:t>‘</w:t>
      </w:r>
      <w:r w:rsidR="007718E9">
        <w:t xml:space="preserve">… like in all Island cultures there is a stigma around disability that the reason why your son or your daughter has a disability is your family did something like a sin … and so that was the curse to be brought upon your family … I didn’t have much of a social life, couldn’t have friends sleep over … </w:t>
      </w:r>
      <w:r w:rsidR="007718E9" w:rsidRPr="00B74069">
        <w:t>I was just really closed off from the rest of the world</w:t>
      </w:r>
      <w:r w:rsidR="007718E9">
        <w:t>.</w:t>
      </w:r>
      <w:r w:rsidR="009643F5">
        <w:t>’</w:t>
      </w:r>
      <w:r w:rsidR="007718E9">
        <w:t xml:space="preserve"> (2015b:23</w:t>
      </w:r>
      <w:r w:rsidR="00B74069">
        <w:t xml:space="preserve">) </w:t>
      </w:r>
    </w:p>
    <w:p w14:paraId="354A368C" w14:textId="77777777" w:rsidR="007718E9" w:rsidRDefault="007718E9" w:rsidP="00385DD1">
      <w:pPr>
        <w:pStyle w:val="RecLevel1"/>
      </w:pPr>
      <w:r>
        <w:t>Being able to participate in online communities such as social media and gaming sites was particularly important for younger disabled research participants (2015b). However, examples were given of these younger disabled people being subject to labelling and discriminatory language.</w:t>
      </w:r>
    </w:p>
    <w:p w14:paraId="7B1B6309" w14:textId="77777777" w:rsidR="005B6EB5" w:rsidRDefault="00EA6B67" w:rsidP="00FC3088">
      <w:pPr>
        <w:pStyle w:val="Heading3"/>
      </w:pPr>
      <w:r>
        <w:t>Additional issues</w:t>
      </w:r>
      <w:r w:rsidR="005B6EB5">
        <w:t xml:space="preserve"> raised by disabled people in the Convention Coalition’s research reports</w:t>
      </w:r>
    </w:p>
    <w:p w14:paraId="64B349BA" w14:textId="77777777" w:rsidR="007718E9" w:rsidRDefault="006956E8" w:rsidP="006956E8">
      <w:pPr>
        <w:pStyle w:val="Heading4"/>
        <w:rPr>
          <w:lang w:val="en-NZ"/>
        </w:rPr>
      </w:pPr>
      <w:r>
        <w:rPr>
          <w:lang w:val="en-NZ"/>
        </w:rPr>
        <w:t xml:space="preserve">Physical and environmental barriers impede disabled people from fully accessing their communities </w:t>
      </w:r>
    </w:p>
    <w:p w14:paraId="4D204F58" w14:textId="77777777" w:rsidR="00322D75" w:rsidRPr="00C60703" w:rsidRDefault="00322D75" w:rsidP="00243571">
      <w:pPr>
        <w:pStyle w:val="RecLevel1"/>
      </w:pPr>
      <w:r w:rsidRPr="00C60703">
        <w:t>Summary</w:t>
      </w:r>
    </w:p>
    <w:p w14:paraId="6B90B696" w14:textId="77777777" w:rsidR="00322D75" w:rsidRDefault="00322D75" w:rsidP="00322D75">
      <w:pPr>
        <w:pStyle w:val="Bullet1"/>
      </w:pPr>
      <w:r>
        <w:t>The interviewees emphasised that disabled people cannot become fully part of their communities without being able to physically access places, buildings and transport services and access events and information.</w:t>
      </w:r>
    </w:p>
    <w:p w14:paraId="29B98D9B" w14:textId="77777777" w:rsidR="00CF4776" w:rsidRPr="00D63FCE" w:rsidRDefault="00711218" w:rsidP="00243571">
      <w:pPr>
        <w:pStyle w:val="RecLevel1"/>
      </w:pPr>
      <w:r>
        <w:t>Concerns about access to many public places such as lifts, footpaths, roads, pedestrian crossings, car parks and toilets</w:t>
      </w:r>
      <w:r w:rsidR="00031A27">
        <w:t xml:space="preserve"> were</w:t>
      </w:r>
      <w:r>
        <w:t xml:space="preserve"> raised by interviewees, especially those with mobility or sensory impairments, in the </w:t>
      </w:r>
      <w:r w:rsidR="00CF4776">
        <w:t>Convention Coalition (2015a) project</w:t>
      </w:r>
      <w:r>
        <w:t>.</w:t>
      </w:r>
      <w:r w:rsidR="00CF4776">
        <w:t xml:space="preserve"> </w:t>
      </w:r>
      <w:r>
        <w:t>One interviewee explained:</w:t>
      </w:r>
      <w:r w:rsidR="00D63FCE">
        <w:t xml:space="preserve"> ’I</w:t>
      </w:r>
      <w:r w:rsidRPr="00D63FCE">
        <w:t>t made me think, well, OK, what’s the point in going out anywhere if you can’t even do something basic like going to the loo</w:t>
      </w:r>
      <w:r w:rsidR="00196C76" w:rsidRPr="00D63FCE">
        <w:t>.</w:t>
      </w:r>
      <w:r w:rsidR="00D63FCE">
        <w:t>’</w:t>
      </w:r>
      <w:r w:rsidR="00BF3E22">
        <w:t xml:space="preserve"> (2015a:17).</w:t>
      </w:r>
    </w:p>
    <w:p w14:paraId="4E7A498D" w14:textId="2E41901F" w:rsidR="00711218" w:rsidRDefault="008565D6" w:rsidP="00243571">
      <w:pPr>
        <w:pStyle w:val="RecLevel1"/>
      </w:pPr>
      <w:r>
        <w:t>Access to safe</w:t>
      </w:r>
      <w:r w:rsidR="00F90C29">
        <w:t>, accessible housing was a</w:t>
      </w:r>
      <w:r>
        <w:t xml:space="preserve"> concern for the Convention Coalition research participants (2015a). Some disabled people commented on being offered state housing that was far away from their family, work and disability services. This made it difficult for them to participate in family and social networks. A lack of affordable, accessible housing in the private sector was also an issue for the research participants. </w:t>
      </w:r>
    </w:p>
    <w:p w14:paraId="446482AF" w14:textId="77777777" w:rsidR="00031A27" w:rsidRDefault="006E628E" w:rsidP="00243571">
      <w:pPr>
        <w:pStyle w:val="RecLevel1"/>
      </w:pPr>
      <w:r>
        <w:t>Young disabled people (Convention Coalition 2013a)</w:t>
      </w:r>
      <w:r w:rsidR="00031A27">
        <w:t xml:space="preserve"> also</w:t>
      </w:r>
      <w:r>
        <w:t xml:space="preserve"> commented on a lack of accessible and age-appropriate housing as a barrier to living ‘an ordinary life’. </w:t>
      </w:r>
    </w:p>
    <w:p w14:paraId="5EF652F5" w14:textId="6B22F037" w:rsidR="00661A76" w:rsidRDefault="00405B05" w:rsidP="00243571">
      <w:pPr>
        <w:pStyle w:val="RecLevel1"/>
      </w:pPr>
      <w:r>
        <w:lastRenderedPageBreak/>
        <w:t>Access to public transport (for example,</w:t>
      </w:r>
      <w:r w:rsidR="00661A76">
        <w:t xml:space="preserve"> buses) and taxis </w:t>
      </w:r>
      <w:r w:rsidR="00F90C29">
        <w:t>was an</w:t>
      </w:r>
      <w:r w:rsidR="00661A76">
        <w:t xml:space="preserve"> area of concern. The research participants reported that discriminatory attitudes and a lack of acceptanc</w:t>
      </w:r>
      <w:r w:rsidR="00F90C29">
        <w:t>e by service providers is</w:t>
      </w:r>
      <w:r w:rsidR="00890FA0">
        <w:t xml:space="preserve"> a</w:t>
      </w:r>
      <w:r w:rsidR="00F90C29">
        <w:t xml:space="preserve"> </w:t>
      </w:r>
      <w:r w:rsidR="00661A76">
        <w:t>source of stress in their daily lives.</w:t>
      </w:r>
    </w:p>
    <w:p w14:paraId="2AD9639C" w14:textId="59CFC5B7" w:rsidR="001F1E8C" w:rsidRDefault="00F90C29" w:rsidP="00243571">
      <w:pPr>
        <w:pStyle w:val="RecLevel1"/>
      </w:pPr>
      <w:r>
        <w:t>I</w:t>
      </w:r>
      <w:r w:rsidR="001F1E8C">
        <w:t>nterviewees stated that advances in technology were assisting disabled people to communicate and partic</w:t>
      </w:r>
      <w:r w:rsidR="00405B05">
        <w:t>ipate in all areas of life (for example,</w:t>
      </w:r>
      <w:r w:rsidR="001F1E8C">
        <w:t xml:space="preserve"> video relay services, giving feedback online, online shopping, access to information online).</w:t>
      </w:r>
    </w:p>
    <w:p w14:paraId="70CF3302" w14:textId="20D02F0E" w:rsidR="0086211E" w:rsidRDefault="000E661D" w:rsidP="0086211E">
      <w:pPr>
        <w:pStyle w:val="Heading4"/>
        <w:rPr>
          <w:lang w:val="en-NZ"/>
        </w:rPr>
      </w:pPr>
      <w:r>
        <w:rPr>
          <w:lang w:val="en-NZ"/>
        </w:rPr>
        <w:t>There is l</w:t>
      </w:r>
      <w:r w:rsidR="0086211E">
        <w:rPr>
          <w:lang w:val="en-NZ"/>
        </w:rPr>
        <w:t>ack of consistency, choice, funding and respect for consumers in disabilit</w:t>
      </w:r>
      <w:r w:rsidR="004002BF">
        <w:rPr>
          <w:lang w:val="en-NZ"/>
        </w:rPr>
        <w:t xml:space="preserve">y support services </w:t>
      </w:r>
    </w:p>
    <w:p w14:paraId="57E4BDAD" w14:textId="2586A257" w:rsidR="00FE7F69" w:rsidRDefault="00F90C29" w:rsidP="00243571">
      <w:pPr>
        <w:pStyle w:val="RecLevel1"/>
      </w:pPr>
      <w:r>
        <w:t>An</w:t>
      </w:r>
      <w:r w:rsidR="00EA04D9">
        <w:t xml:space="preserve"> issue</w:t>
      </w:r>
      <w:r w:rsidR="008651A0">
        <w:t xml:space="preserve"> highlighted by research participants in the Convention Coalition’s 2012 report was the need for well qualified and well paid support staff in all services working with disabled people. It was observed that </w:t>
      </w:r>
      <w:r w:rsidR="00FE7F69">
        <w:t>inadequate</w:t>
      </w:r>
      <w:r w:rsidR="008651A0">
        <w:t xml:space="preserve"> funding led to the employment of</w:t>
      </w:r>
      <w:r w:rsidR="00FE7F69">
        <w:t xml:space="preserve"> poorly or completely unqualified disability support staff which, in turn, sometimes leads to bullying and coercion of consumers. </w:t>
      </w:r>
    </w:p>
    <w:p w14:paraId="7D4D69B0" w14:textId="77777777" w:rsidR="00FC3088" w:rsidRDefault="00FE7F69" w:rsidP="00243571">
      <w:pPr>
        <w:pStyle w:val="RecLevel1"/>
      </w:pPr>
      <w:r>
        <w:t xml:space="preserve">One interviewee said: </w:t>
      </w:r>
      <w:r w:rsidR="00D63FCE">
        <w:t>‘</w:t>
      </w:r>
      <w:r>
        <w:t>You know you are not valued by society when you are cared for by someone who is paid just $13 an hour to provide personal support. No wonder that these roles often attract people who commit offences against the people they are meant to be caring for.</w:t>
      </w:r>
      <w:r w:rsidR="00D63FCE">
        <w:t>’</w:t>
      </w:r>
      <w:r>
        <w:t xml:space="preserve"> (2012:55) </w:t>
      </w:r>
      <w:r w:rsidR="008651A0">
        <w:t xml:space="preserve"> </w:t>
      </w:r>
    </w:p>
    <w:p w14:paraId="1DDC8EF5" w14:textId="4EE1AB5B" w:rsidR="00826B8D" w:rsidRDefault="00826B8D" w:rsidP="00243571">
      <w:pPr>
        <w:pStyle w:val="RecLevel1"/>
      </w:pPr>
      <w:r>
        <w:t>Issues with</w:t>
      </w:r>
      <w:r w:rsidR="004113EA">
        <w:t xml:space="preserve"> needs</w:t>
      </w:r>
      <w:r>
        <w:t xml:space="preserve"> assessments</w:t>
      </w:r>
      <w:r w:rsidR="004113EA">
        <w:t xml:space="preserve"> for support services were raised by</w:t>
      </w:r>
      <w:r w:rsidR="00F90C29">
        <w:t xml:space="preserve"> interviewees</w:t>
      </w:r>
      <w:r w:rsidR="004113EA">
        <w:t xml:space="preserve"> </w:t>
      </w:r>
      <w:r w:rsidR="00F90C29">
        <w:t>(</w:t>
      </w:r>
      <w:r w:rsidR="004113EA">
        <w:t>Convention Coalition 2015a).</w:t>
      </w:r>
    </w:p>
    <w:p w14:paraId="316516F6" w14:textId="1C2B9267" w:rsidR="004113EA" w:rsidRDefault="000E661D" w:rsidP="004113EA">
      <w:pPr>
        <w:pStyle w:val="Heading4"/>
        <w:rPr>
          <w:lang w:val="en-NZ"/>
        </w:rPr>
      </w:pPr>
      <w:r>
        <w:rPr>
          <w:lang w:val="en-NZ"/>
        </w:rPr>
        <w:t>There is a l</w:t>
      </w:r>
      <w:r w:rsidR="00B147B5">
        <w:rPr>
          <w:lang w:val="en-NZ"/>
        </w:rPr>
        <w:t>ack of disability awareness and responsiveness</w:t>
      </w:r>
      <w:r w:rsidR="00C25294">
        <w:rPr>
          <w:lang w:val="en-NZ"/>
        </w:rPr>
        <w:t xml:space="preserve"> in society</w:t>
      </w:r>
      <w:r w:rsidR="00B147B5">
        <w:rPr>
          <w:lang w:val="en-NZ"/>
        </w:rPr>
        <w:t xml:space="preserve"> </w:t>
      </w:r>
    </w:p>
    <w:p w14:paraId="0E2E9990" w14:textId="134EA9BB" w:rsidR="00B147B5" w:rsidRDefault="00F90C29" w:rsidP="003814A4">
      <w:pPr>
        <w:pStyle w:val="RecLevel1"/>
      </w:pPr>
      <w:r>
        <w:t>T</w:t>
      </w:r>
      <w:r w:rsidR="00B147B5">
        <w:t>he participants in the Convention Coalition’s research agreed that</w:t>
      </w:r>
      <w:r w:rsidR="00ED3EB4">
        <w:t>:</w:t>
      </w:r>
      <w:r w:rsidR="00B147B5">
        <w:t xml:space="preserve"> </w:t>
      </w:r>
      <w:r w:rsidR="00890FA0">
        <w:t>‘awareness is not enough;</w:t>
      </w:r>
      <w:r w:rsidR="00B147B5" w:rsidRPr="007E586B">
        <w:t xml:space="preserve"> we need responsi</w:t>
      </w:r>
      <w:r w:rsidR="009208DA" w:rsidRPr="007E586B">
        <w:t xml:space="preserve">veness, empowerment and respect’ </w:t>
      </w:r>
      <w:r w:rsidR="00B147B5">
        <w:t>(2012:58).</w:t>
      </w:r>
      <w:r w:rsidR="0055438A">
        <w:t xml:space="preserve"> It was emphasised that attitudes to disability</w:t>
      </w:r>
      <w:r w:rsidR="009B5AA7">
        <w:t xml:space="preserve"> and stereotypes of disabled people</w:t>
      </w:r>
      <w:r w:rsidR="0055438A">
        <w:t xml:space="preserve"> need to </w:t>
      </w:r>
      <w:r w:rsidR="00756CC7">
        <w:t xml:space="preserve">change in organisations, </w:t>
      </w:r>
      <w:r w:rsidR="0055438A">
        <w:t>services and among the general public</w:t>
      </w:r>
      <w:r w:rsidR="00604124">
        <w:t xml:space="preserve"> (Convention Coalition</w:t>
      </w:r>
      <w:r w:rsidR="00C81D78">
        <w:t xml:space="preserve"> 2013b,</w:t>
      </w:r>
      <w:r w:rsidR="00604124">
        <w:t xml:space="preserve"> 2015b)</w:t>
      </w:r>
      <w:r w:rsidR="0055438A">
        <w:t>.</w:t>
      </w:r>
    </w:p>
    <w:p w14:paraId="2CC5D3A6" w14:textId="77777777" w:rsidR="001F1E8C" w:rsidRDefault="00D0197F" w:rsidP="003814A4">
      <w:pPr>
        <w:pStyle w:val="RecLevel1"/>
      </w:pPr>
      <w:r>
        <w:t>What the interviews with disabled research participants suggest is that the more distant the general public is from disabled people, the higher the probability of disabled people being subject</w:t>
      </w:r>
      <w:r w:rsidR="005613C3">
        <w:t>ed</w:t>
      </w:r>
      <w:r>
        <w:t xml:space="preserve"> to discrimination (Convention Coalition 2015b).</w:t>
      </w:r>
      <w:r w:rsidR="00D30D8D">
        <w:t xml:space="preserve"> This being the case, interviewees stated that increasing exposure to disability and the development of more positive relationships</w:t>
      </w:r>
      <w:r w:rsidR="003C1573">
        <w:t xml:space="preserve"> with disabled people</w:t>
      </w:r>
      <w:r w:rsidR="00D30D8D">
        <w:t xml:space="preserve"> was of paramount importance.</w:t>
      </w:r>
      <w:r w:rsidR="003C1573">
        <w:t xml:space="preserve"> </w:t>
      </w:r>
    </w:p>
    <w:p w14:paraId="3C5552D5" w14:textId="56CFA7EA" w:rsidR="00306038" w:rsidRDefault="009B5AA7" w:rsidP="003814A4">
      <w:pPr>
        <w:pStyle w:val="RecLevel1"/>
      </w:pPr>
      <w:r>
        <w:t xml:space="preserve">One way of increasing exposure to disabled people suggested by interviewees was education/awareness programmes for the general public. It was emphasised that </w:t>
      </w:r>
      <w:r w:rsidR="00C713F4">
        <w:t>these programmes should be delivered by disabled people with experience in this area.</w:t>
      </w:r>
    </w:p>
    <w:p w14:paraId="305792D1" w14:textId="77777777" w:rsidR="007718E9" w:rsidRDefault="007718E9" w:rsidP="007718E9"/>
    <w:p w14:paraId="2AA822CF" w14:textId="77777777" w:rsidR="007718E9" w:rsidRDefault="007718E9" w:rsidP="007718E9"/>
    <w:p w14:paraId="0F4C3299" w14:textId="77777777" w:rsidR="007718E9" w:rsidRDefault="007718E9" w:rsidP="007718E9"/>
    <w:p w14:paraId="77DB478A" w14:textId="77777777" w:rsidR="00E237DA" w:rsidRDefault="00E237DA" w:rsidP="007718E9"/>
    <w:p w14:paraId="32547CA2" w14:textId="77777777" w:rsidR="00E237DA" w:rsidRDefault="00E237DA" w:rsidP="007718E9"/>
    <w:p w14:paraId="6E3E244C" w14:textId="77777777" w:rsidR="00E237DA" w:rsidRDefault="00E237DA" w:rsidP="007718E9"/>
    <w:p w14:paraId="61036275" w14:textId="77777777" w:rsidR="00E237DA" w:rsidRDefault="00E237DA" w:rsidP="007718E9"/>
    <w:p w14:paraId="793DD16C" w14:textId="77777777" w:rsidR="007718E9" w:rsidRDefault="007718E9" w:rsidP="007718E9"/>
    <w:p w14:paraId="77698FD9" w14:textId="77777777" w:rsidR="00F90C29" w:rsidRDefault="00F90C29" w:rsidP="007718E9"/>
    <w:p w14:paraId="27C081DA" w14:textId="77777777" w:rsidR="00F90C29" w:rsidRDefault="00F90C29" w:rsidP="007718E9"/>
    <w:p w14:paraId="0ED53770" w14:textId="77777777" w:rsidR="005D675E" w:rsidRDefault="005D675E" w:rsidP="005D675E">
      <w:pPr>
        <w:pStyle w:val="Heading2"/>
      </w:pPr>
      <w:r>
        <w:lastRenderedPageBreak/>
        <w:t>References</w:t>
      </w:r>
    </w:p>
    <w:p w14:paraId="24BC6C00" w14:textId="77777777" w:rsidR="005D675E" w:rsidRDefault="005D675E" w:rsidP="005D675E">
      <w:pPr>
        <w:rPr>
          <w:i/>
        </w:rPr>
      </w:pPr>
      <w:r>
        <w:t xml:space="preserve">Convention Coalition </w:t>
      </w:r>
      <w:r w:rsidR="00DE5198">
        <w:t xml:space="preserve">Monitoring Group (2010). </w:t>
      </w:r>
      <w:r w:rsidR="00DE5198">
        <w:rPr>
          <w:i/>
        </w:rPr>
        <w:t>A report on the human rights of disabled people in Aotearoa New Zealand.</w:t>
      </w:r>
    </w:p>
    <w:p w14:paraId="6B880B32" w14:textId="77777777" w:rsidR="00DE5198" w:rsidRDefault="00DE5198" w:rsidP="005D675E">
      <w:pPr>
        <w:rPr>
          <w:i/>
        </w:rPr>
      </w:pPr>
      <w:r>
        <w:t xml:space="preserve">Convention Coalition Monitoring Group (2012). </w:t>
      </w:r>
      <w:r>
        <w:rPr>
          <w:i/>
        </w:rPr>
        <w:t>Disability rights in Aotearoa New Zealand.</w:t>
      </w:r>
    </w:p>
    <w:p w14:paraId="5D227D24" w14:textId="77777777" w:rsidR="00DE5198" w:rsidRDefault="00DE5198" w:rsidP="005D675E">
      <w:pPr>
        <w:rPr>
          <w:i/>
        </w:rPr>
      </w:pPr>
      <w:r>
        <w:t xml:space="preserve">Convention Coalition Monitoring Group (2013a). </w:t>
      </w:r>
      <w:r>
        <w:rPr>
          <w:i/>
        </w:rPr>
        <w:t>Disability rights in Aotearoa New Zealand: Youth.</w:t>
      </w:r>
    </w:p>
    <w:p w14:paraId="0F27B136" w14:textId="77777777" w:rsidR="00DE5198" w:rsidRDefault="00DE5198" w:rsidP="005D675E">
      <w:pPr>
        <w:rPr>
          <w:i/>
        </w:rPr>
      </w:pPr>
      <w:r>
        <w:t xml:space="preserve">Convention Coalition Monitoring Group (2013b). </w:t>
      </w:r>
      <w:r>
        <w:rPr>
          <w:i/>
        </w:rPr>
        <w:t>Disability rights in Aotearoa New Zealand: Media.</w:t>
      </w:r>
    </w:p>
    <w:p w14:paraId="00C62403" w14:textId="77777777" w:rsidR="00DE5198" w:rsidRDefault="00DE5198" w:rsidP="005D675E">
      <w:pPr>
        <w:rPr>
          <w:i/>
        </w:rPr>
      </w:pPr>
      <w:r>
        <w:t xml:space="preserve">Convention Coalition Monitoring Group (2015a). </w:t>
      </w:r>
      <w:r>
        <w:rPr>
          <w:i/>
        </w:rPr>
        <w:t>Disability rights in Aotearoa New Zealand: Participation and poverty.</w:t>
      </w:r>
    </w:p>
    <w:p w14:paraId="4C602DD4" w14:textId="77777777" w:rsidR="00DE5198" w:rsidRDefault="00DE5198" w:rsidP="005D675E">
      <w:pPr>
        <w:rPr>
          <w:i/>
        </w:rPr>
      </w:pPr>
      <w:r>
        <w:t xml:space="preserve">Convention Coalition Monitoring Group (2015b). </w:t>
      </w:r>
      <w:r>
        <w:rPr>
          <w:i/>
        </w:rPr>
        <w:t>Disability rights in Aotearoa New Zealand: Acceptance in Society.</w:t>
      </w:r>
    </w:p>
    <w:p w14:paraId="20CAF456" w14:textId="77777777" w:rsidR="00DE5198" w:rsidRDefault="00DE5198" w:rsidP="005D675E">
      <w:r>
        <w:t>Mirfin-Veitch, B.</w:t>
      </w:r>
      <w:r w:rsidR="00EB3EB6">
        <w:t xml:space="preserve">, Gates, S., Diesfeld, K., &amp; Henaghan (2014). </w:t>
      </w:r>
      <w:r w:rsidR="00EB3EB6">
        <w:rPr>
          <w:i/>
        </w:rPr>
        <w:t xml:space="preserve">Developing a more responsive legal system for people with intellectual disability in New Zealand. </w:t>
      </w:r>
      <w:r w:rsidR="00EB3EB6">
        <w:t>Dunedin: Donald Beasley Institute.</w:t>
      </w:r>
    </w:p>
    <w:p w14:paraId="250C4FC6" w14:textId="77777777" w:rsidR="000A02A7" w:rsidRDefault="000A02A7" w:rsidP="005D675E">
      <w:r>
        <w:t xml:space="preserve">Roguski, M. (2013). </w:t>
      </w:r>
      <w:r>
        <w:rPr>
          <w:i/>
        </w:rPr>
        <w:t>The hidden abuse of disabled people residing in the community: An exploratory study.</w:t>
      </w:r>
      <w:r>
        <w:t xml:space="preserve"> Gisborne: Tairawhiti Community Voice.</w:t>
      </w:r>
    </w:p>
    <w:p w14:paraId="645D322C" w14:textId="34A222A5" w:rsidR="00B87B5A" w:rsidRDefault="0031314C" w:rsidP="005D675E">
      <w:r>
        <w:t>Stati</w:t>
      </w:r>
      <w:r w:rsidR="00F3691B">
        <w:t>stics New Zealand</w:t>
      </w:r>
      <w:r>
        <w:t xml:space="preserve">. </w:t>
      </w:r>
      <w:r>
        <w:rPr>
          <w:i/>
        </w:rPr>
        <w:t xml:space="preserve">Disabilities. </w:t>
      </w:r>
      <w:r>
        <w:t xml:space="preserve">Retrieved from </w:t>
      </w:r>
      <w:hyperlink r:id="rId10" w:history="1">
        <w:r w:rsidRPr="009F06C0">
          <w:rPr>
            <w:rStyle w:val="Hyperlink"/>
          </w:rPr>
          <w:t>http://www.stats.govt.nz/browse_for_stats/health/disabilities.aspx</w:t>
        </w:r>
      </w:hyperlink>
      <w:r w:rsidR="00F3691B">
        <w:rPr>
          <w:rStyle w:val="Hyperlink"/>
        </w:rPr>
        <w:t>.</w:t>
      </w:r>
      <w:r>
        <w:t xml:space="preserve"> </w:t>
      </w:r>
    </w:p>
    <w:p w14:paraId="7DF45621" w14:textId="24737F9A" w:rsidR="00F3691B" w:rsidRDefault="00F3691B" w:rsidP="005D675E">
      <w:r>
        <w:t xml:space="preserve">Statistics New Zealand (2014). </w:t>
      </w:r>
      <w:r>
        <w:rPr>
          <w:i/>
        </w:rPr>
        <w:t>Social and economic outcomes for disabled people: Findings from the 2013 Disability Survey.</w:t>
      </w:r>
      <w:r>
        <w:t xml:space="preserve"> Retrieved from </w:t>
      </w:r>
      <w:hyperlink r:id="rId11" w:history="1">
        <w:r w:rsidR="0027288C" w:rsidRPr="0029104D">
          <w:rPr>
            <w:rStyle w:val="Hyperlink"/>
          </w:rPr>
          <w:t>http://www.stats.govt.nz/browse_for_stats/health/disabilities/disability-survey-2013-additional-tables.aspx</w:t>
        </w:r>
      </w:hyperlink>
      <w:r>
        <w:t xml:space="preserve">. </w:t>
      </w:r>
    </w:p>
    <w:p w14:paraId="4B17D1FB" w14:textId="2EA4A5CE" w:rsidR="00F3691B" w:rsidRDefault="00F3691B" w:rsidP="005D675E">
      <w:r>
        <w:t xml:space="preserve">Statistics New Zealand (2014). </w:t>
      </w:r>
      <w:r>
        <w:rPr>
          <w:i/>
        </w:rPr>
        <w:t xml:space="preserve">Disability and the labour market: Findings from the 2013 Disability Survey. </w:t>
      </w:r>
      <w:r>
        <w:t xml:space="preserve">Retrieved from </w:t>
      </w:r>
      <w:hyperlink r:id="rId12" w:history="1">
        <w:r w:rsidR="00B635DF" w:rsidRPr="0029104D">
          <w:rPr>
            <w:rStyle w:val="Hyperlink"/>
          </w:rPr>
          <w:t>http://www.stats.govt.nz/browse_for_stats/health/disabilities/disability-and-labour-market.aspx</w:t>
        </w:r>
      </w:hyperlink>
      <w:r w:rsidR="00B635DF">
        <w:t xml:space="preserve">. </w:t>
      </w:r>
    </w:p>
    <w:p w14:paraId="76974526" w14:textId="77777777" w:rsidR="00064C2E" w:rsidRPr="00CF2E97" w:rsidRDefault="00064C2E" w:rsidP="00064C2E">
      <w:pPr>
        <w:pStyle w:val="FootnoteText"/>
        <w:rPr>
          <w:sz w:val="20"/>
          <w:szCs w:val="20"/>
        </w:rPr>
      </w:pPr>
      <w:r>
        <w:rPr>
          <w:sz w:val="20"/>
          <w:szCs w:val="20"/>
        </w:rPr>
        <w:t xml:space="preserve">Statistics New Zealand (2015). </w:t>
      </w:r>
      <w:r>
        <w:rPr>
          <w:i/>
          <w:sz w:val="20"/>
          <w:szCs w:val="20"/>
        </w:rPr>
        <w:t>He Hauā Māori: Findings from the 2013 Disability Survey.</w:t>
      </w:r>
      <w:r>
        <w:rPr>
          <w:sz w:val="20"/>
          <w:szCs w:val="20"/>
        </w:rPr>
        <w:t xml:space="preserve"> Retrieved from </w:t>
      </w:r>
      <w:hyperlink r:id="rId13" w:history="1">
        <w:r w:rsidRPr="00CF2E97">
          <w:rPr>
            <w:rStyle w:val="Hyperlink"/>
            <w:sz w:val="20"/>
            <w:szCs w:val="20"/>
          </w:rPr>
          <w:t>http://www.stats.govt.nz/browse_for_stats/health/disabilities/He-haua-maori-findings-from-2013-disability-survey.aspx</w:t>
        </w:r>
      </w:hyperlink>
      <w:r w:rsidRPr="00CF2E97">
        <w:rPr>
          <w:sz w:val="20"/>
          <w:szCs w:val="20"/>
        </w:rPr>
        <w:t xml:space="preserve">. </w:t>
      </w:r>
    </w:p>
    <w:p w14:paraId="75192F9D" w14:textId="6BB60DCB" w:rsidR="00064C2E" w:rsidRPr="00CF2E97" w:rsidRDefault="00064C2E" w:rsidP="0027288C">
      <w:pPr>
        <w:pStyle w:val="FootnoteText"/>
        <w:rPr>
          <w:sz w:val="20"/>
          <w:szCs w:val="20"/>
        </w:rPr>
      </w:pPr>
    </w:p>
    <w:p w14:paraId="423C1B22" w14:textId="77777777" w:rsidR="00064C2E" w:rsidRDefault="00064C2E">
      <w:pPr>
        <w:suppressAutoHyphens w:val="0"/>
        <w:autoSpaceDE/>
        <w:autoSpaceDN/>
        <w:adjustRightInd/>
        <w:spacing w:before="0" w:after="0" w:line="240" w:lineRule="auto"/>
        <w:textAlignment w:val="auto"/>
        <w:rPr>
          <w:rFonts w:cs="Times New Roman"/>
          <w:lang w:eastAsia="x-none"/>
        </w:rPr>
      </w:pPr>
      <w:r>
        <w:br w:type="page"/>
      </w:r>
    </w:p>
    <w:p w14:paraId="622330E5" w14:textId="05505779" w:rsidR="00064C2E" w:rsidRDefault="00064C2E">
      <w:pPr>
        <w:suppressAutoHyphens w:val="0"/>
        <w:autoSpaceDE/>
        <w:autoSpaceDN/>
        <w:adjustRightInd/>
        <w:spacing w:before="0" w:after="0" w:line="240" w:lineRule="auto"/>
        <w:textAlignment w:val="auto"/>
        <w:rPr>
          <w:rFonts w:cs="Times New Roman"/>
          <w:sz w:val="18"/>
          <w:szCs w:val="16"/>
          <w:lang w:eastAsia="x-none"/>
        </w:rPr>
      </w:pPr>
    </w:p>
    <w:p w14:paraId="59C97AC0" w14:textId="77777777" w:rsidR="00CC5F20" w:rsidRDefault="00CC5F20" w:rsidP="00CC5F20">
      <w:pPr>
        <w:pStyle w:val="Heading2"/>
      </w:pPr>
      <w:r>
        <w:t>Appendix</w:t>
      </w:r>
    </w:p>
    <w:p w14:paraId="2177097E" w14:textId="77777777" w:rsidR="00CC5F20" w:rsidRDefault="00CC5F20" w:rsidP="00CC5F20">
      <w:pPr>
        <w:pStyle w:val="Heading2"/>
        <w:rPr>
          <w:lang w:eastAsia="en-US"/>
        </w:rPr>
      </w:pPr>
      <w:r>
        <w:rPr>
          <w:lang w:eastAsia="en-US"/>
        </w:rPr>
        <w:t>Definition of terms (Statistics New Zealand)</w:t>
      </w:r>
    </w:p>
    <w:tbl>
      <w:tblPr>
        <w:tblStyle w:val="TableGrid"/>
        <w:tblW w:w="9923" w:type="dxa"/>
        <w:jc w:val="center"/>
        <w:tblLook w:val="04A0" w:firstRow="1" w:lastRow="0" w:firstColumn="1" w:lastColumn="0" w:noHBand="0" w:noVBand="1"/>
      </w:tblPr>
      <w:tblGrid>
        <w:gridCol w:w="2714"/>
        <w:gridCol w:w="7209"/>
      </w:tblGrid>
      <w:tr w:rsidR="00CC5F20" w:rsidRPr="00703B1F" w14:paraId="39CADC3C" w14:textId="77777777" w:rsidTr="0031756F">
        <w:trPr>
          <w:jc w:val="center"/>
        </w:trPr>
        <w:tc>
          <w:tcPr>
            <w:tcW w:w="1843" w:type="dxa"/>
            <w:shd w:val="pct25" w:color="auto" w:fill="auto"/>
          </w:tcPr>
          <w:p w14:paraId="6EB3F645" w14:textId="77777777" w:rsidR="00CC5F20" w:rsidRPr="00703B1F" w:rsidRDefault="00CC5F20" w:rsidP="0031756F">
            <w:pPr>
              <w:rPr>
                <w:rFonts w:ascii="Verdana" w:hAnsi="Verdana"/>
                <w:b/>
              </w:rPr>
            </w:pPr>
            <w:r w:rsidRPr="00703B1F">
              <w:rPr>
                <w:rFonts w:ascii="Verdana" w:hAnsi="Verdana"/>
                <w:b/>
              </w:rPr>
              <w:t>Term</w:t>
            </w:r>
          </w:p>
        </w:tc>
        <w:tc>
          <w:tcPr>
            <w:tcW w:w="8080" w:type="dxa"/>
            <w:shd w:val="pct25" w:color="auto" w:fill="auto"/>
          </w:tcPr>
          <w:p w14:paraId="08FBAA8F" w14:textId="77777777" w:rsidR="00CC5F20" w:rsidRPr="00703B1F" w:rsidRDefault="00CC5F20" w:rsidP="0031756F">
            <w:pPr>
              <w:rPr>
                <w:rFonts w:ascii="Verdana" w:hAnsi="Verdana"/>
                <w:b/>
              </w:rPr>
            </w:pPr>
            <w:r w:rsidRPr="00703B1F">
              <w:rPr>
                <w:rFonts w:ascii="Verdana" w:hAnsi="Verdana"/>
                <w:b/>
              </w:rPr>
              <w:t>Definition</w:t>
            </w:r>
          </w:p>
        </w:tc>
      </w:tr>
      <w:tr w:rsidR="00CC5F20" w:rsidRPr="001C416A" w14:paraId="4B09C143" w14:textId="77777777" w:rsidTr="0031756F">
        <w:trPr>
          <w:jc w:val="center"/>
        </w:trPr>
        <w:tc>
          <w:tcPr>
            <w:tcW w:w="1843" w:type="dxa"/>
          </w:tcPr>
          <w:p w14:paraId="366FAAB0" w14:textId="77777777" w:rsidR="00CC5F20" w:rsidRPr="001C416A" w:rsidRDefault="00CC5F20" w:rsidP="0031756F">
            <w:pPr>
              <w:rPr>
                <w:rFonts w:ascii="Verdana" w:hAnsi="Verdana"/>
              </w:rPr>
            </w:pPr>
            <w:r>
              <w:rPr>
                <w:rFonts w:ascii="Verdana" w:hAnsi="Verdana"/>
              </w:rPr>
              <w:t>Adult</w:t>
            </w:r>
          </w:p>
        </w:tc>
        <w:tc>
          <w:tcPr>
            <w:tcW w:w="8080" w:type="dxa"/>
          </w:tcPr>
          <w:p w14:paraId="74F3E0F3" w14:textId="77777777" w:rsidR="00CC5F20" w:rsidRPr="001C416A" w:rsidRDefault="00CC5F20" w:rsidP="0031756F">
            <w:pPr>
              <w:rPr>
                <w:rFonts w:ascii="Verdana" w:hAnsi="Verdana"/>
              </w:rPr>
            </w:pPr>
            <w:r>
              <w:rPr>
                <w:rFonts w:ascii="Verdana" w:hAnsi="Verdana"/>
              </w:rPr>
              <w:t>A person who is usually resident in New Zealand and is aged 15 years or over.</w:t>
            </w:r>
          </w:p>
        </w:tc>
      </w:tr>
      <w:tr w:rsidR="00CC5F20" w:rsidRPr="001C416A" w14:paraId="7DCC5203" w14:textId="77777777" w:rsidTr="0031756F">
        <w:trPr>
          <w:jc w:val="center"/>
        </w:trPr>
        <w:tc>
          <w:tcPr>
            <w:tcW w:w="1843" w:type="dxa"/>
          </w:tcPr>
          <w:p w14:paraId="50481243" w14:textId="77777777" w:rsidR="00CC5F20" w:rsidRDefault="00CC5F20" w:rsidP="0031756F">
            <w:pPr>
              <w:rPr>
                <w:rFonts w:ascii="Verdana" w:hAnsi="Verdana"/>
              </w:rPr>
            </w:pPr>
            <w:r>
              <w:rPr>
                <w:rFonts w:ascii="Verdana" w:hAnsi="Verdana"/>
              </w:rPr>
              <w:t>Agility impairments (in adults)</w:t>
            </w:r>
          </w:p>
        </w:tc>
        <w:tc>
          <w:tcPr>
            <w:tcW w:w="8080" w:type="dxa"/>
          </w:tcPr>
          <w:p w14:paraId="77F175E5" w14:textId="77777777" w:rsidR="00CC5F20" w:rsidRDefault="00CC5F20" w:rsidP="0031756F">
            <w:pPr>
              <w:rPr>
                <w:rFonts w:ascii="Verdana" w:hAnsi="Verdana"/>
              </w:rPr>
            </w:pPr>
            <w:r>
              <w:rPr>
                <w:rFonts w:ascii="Verdana" w:hAnsi="Verdana"/>
              </w:rPr>
              <w:t>Adults with an agility impairment have difficulty with or cannot do one or more of the following:</w:t>
            </w:r>
          </w:p>
          <w:p w14:paraId="0544BF11" w14:textId="77777777" w:rsidR="00CC5F20" w:rsidRDefault="00CC5F20" w:rsidP="0031756F">
            <w:pPr>
              <w:pStyle w:val="ListParagraph"/>
              <w:numPr>
                <w:ilvl w:val="0"/>
                <w:numId w:val="34"/>
              </w:numPr>
              <w:spacing w:before="0" w:after="170"/>
              <w:rPr>
                <w:rFonts w:ascii="Verdana" w:hAnsi="Verdana"/>
              </w:rPr>
            </w:pPr>
            <w:r>
              <w:rPr>
                <w:rFonts w:ascii="Verdana" w:hAnsi="Verdana"/>
              </w:rPr>
              <w:t>dress or undress independently</w:t>
            </w:r>
          </w:p>
          <w:p w14:paraId="39629FCE" w14:textId="77777777" w:rsidR="00CC5F20" w:rsidRDefault="00CC5F20" w:rsidP="0031756F">
            <w:pPr>
              <w:pStyle w:val="ListParagraph"/>
              <w:numPr>
                <w:ilvl w:val="0"/>
                <w:numId w:val="34"/>
              </w:numPr>
              <w:spacing w:before="0" w:after="170"/>
              <w:rPr>
                <w:rFonts w:ascii="Verdana" w:hAnsi="Verdana"/>
              </w:rPr>
            </w:pPr>
            <w:r>
              <w:rPr>
                <w:rFonts w:ascii="Verdana" w:hAnsi="Verdana"/>
              </w:rPr>
              <w:t>cut their own toe- or fingernails</w:t>
            </w:r>
          </w:p>
          <w:p w14:paraId="17997742" w14:textId="77777777" w:rsidR="00CC5F20" w:rsidRDefault="00CC5F20" w:rsidP="0031756F">
            <w:pPr>
              <w:pStyle w:val="ListParagraph"/>
              <w:numPr>
                <w:ilvl w:val="0"/>
                <w:numId w:val="34"/>
              </w:numPr>
              <w:spacing w:before="0" w:after="170"/>
              <w:rPr>
                <w:rFonts w:ascii="Verdana" w:hAnsi="Verdana"/>
              </w:rPr>
            </w:pPr>
            <w:r>
              <w:rPr>
                <w:rFonts w:ascii="Verdana" w:hAnsi="Verdana"/>
              </w:rPr>
              <w:t>use fingers to grasp or handle things like scissors or pliers</w:t>
            </w:r>
          </w:p>
          <w:p w14:paraId="7580D526" w14:textId="77777777" w:rsidR="00CC5F20" w:rsidRDefault="00CC5F20" w:rsidP="0031756F">
            <w:pPr>
              <w:pStyle w:val="ListParagraph"/>
              <w:numPr>
                <w:ilvl w:val="0"/>
                <w:numId w:val="34"/>
              </w:numPr>
              <w:spacing w:before="0" w:after="170"/>
              <w:rPr>
                <w:rFonts w:ascii="Verdana" w:hAnsi="Verdana"/>
              </w:rPr>
            </w:pPr>
            <w:r>
              <w:rPr>
                <w:rFonts w:ascii="Verdana" w:hAnsi="Verdana"/>
              </w:rPr>
              <w:t>use arms to reach in any direction</w:t>
            </w:r>
          </w:p>
          <w:p w14:paraId="6A7DF928" w14:textId="77777777" w:rsidR="00CC5F20" w:rsidRPr="00BD6448" w:rsidRDefault="00CC5F20" w:rsidP="0031756F">
            <w:pPr>
              <w:pStyle w:val="ListParagraph"/>
              <w:numPr>
                <w:ilvl w:val="0"/>
                <w:numId w:val="34"/>
              </w:numPr>
              <w:spacing w:before="0" w:after="170"/>
              <w:rPr>
                <w:rFonts w:ascii="Verdana" w:hAnsi="Verdana"/>
              </w:rPr>
            </w:pPr>
            <w:r>
              <w:rPr>
                <w:rFonts w:ascii="Verdana" w:hAnsi="Verdana"/>
              </w:rPr>
              <w:t>cut their own food.</w:t>
            </w:r>
          </w:p>
        </w:tc>
      </w:tr>
      <w:tr w:rsidR="00CC5F20" w:rsidRPr="001C416A" w14:paraId="031E0518" w14:textId="77777777" w:rsidTr="0031756F">
        <w:trPr>
          <w:jc w:val="center"/>
        </w:trPr>
        <w:tc>
          <w:tcPr>
            <w:tcW w:w="1843" w:type="dxa"/>
          </w:tcPr>
          <w:p w14:paraId="22733F2B" w14:textId="77777777" w:rsidR="00CC5F20" w:rsidRDefault="00CC5F20" w:rsidP="0031756F">
            <w:pPr>
              <w:rPr>
                <w:rFonts w:ascii="Verdana" w:hAnsi="Verdana"/>
              </w:rPr>
            </w:pPr>
            <w:r>
              <w:rPr>
                <w:rFonts w:ascii="Verdana" w:hAnsi="Verdana"/>
              </w:rPr>
              <w:t>Mobility impairments (in adults)</w:t>
            </w:r>
          </w:p>
        </w:tc>
        <w:tc>
          <w:tcPr>
            <w:tcW w:w="8080" w:type="dxa"/>
          </w:tcPr>
          <w:p w14:paraId="3A4B14AF" w14:textId="77777777" w:rsidR="00CC5F20" w:rsidRDefault="00CC5F20" w:rsidP="0031756F">
            <w:pPr>
              <w:rPr>
                <w:rFonts w:ascii="Verdana" w:hAnsi="Verdana"/>
              </w:rPr>
            </w:pPr>
            <w:r>
              <w:rPr>
                <w:rFonts w:ascii="Verdana" w:hAnsi="Verdana"/>
              </w:rPr>
              <w:t>Adults with a mobility impairment have difficulty with or could not do one or more of the following:</w:t>
            </w:r>
          </w:p>
          <w:p w14:paraId="6D656306" w14:textId="77777777" w:rsidR="00CC5F20" w:rsidRDefault="00CC5F20" w:rsidP="0031756F">
            <w:pPr>
              <w:pStyle w:val="ListParagraph"/>
              <w:numPr>
                <w:ilvl w:val="0"/>
                <w:numId w:val="35"/>
              </w:numPr>
              <w:spacing w:before="0" w:after="170"/>
              <w:rPr>
                <w:rFonts w:ascii="Verdana" w:hAnsi="Verdana"/>
              </w:rPr>
            </w:pPr>
            <w:r>
              <w:rPr>
                <w:rFonts w:ascii="Verdana" w:hAnsi="Verdana"/>
              </w:rPr>
              <w:t>walk about 350 meters without resting</w:t>
            </w:r>
          </w:p>
          <w:p w14:paraId="6594DB22" w14:textId="77777777" w:rsidR="00CC5F20" w:rsidRDefault="00CC5F20" w:rsidP="0031756F">
            <w:pPr>
              <w:pStyle w:val="ListParagraph"/>
              <w:numPr>
                <w:ilvl w:val="0"/>
                <w:numId w:val="35"/>
              </w:numPr>
              <w:spacing w:before="0" w:after="170"/>
              <w:rPr>
                <w:rFonts w:ascii="Verdana" w:hAnsi="Verdana"/>
              </w:rPr>
            </w:pPr>
            <w:r>
              <w:rPr>
                <w:rFonts w:ascii="Verdana" w:hAnsi="Verdana"/>
              </w:rPr>
              <w:t>walk up or down a flight of stairs</w:t>
            </w:r>
          </w:p>
          <w:p w14:paraId="1AA78E3B" w14:textId="77777777" w:rsidR="00CC5F20" w:rsidRDefault="00CC5F20" w:rsidP="0031756F">
            <w:pPr>
              <w:pStyle w:val="ListParagraph"/>
              <w:numPr>
                <w:ilvl w:val="0"/>
                <w:numId w:val="35"/>
              </w:numPr>
              <w:spacing w:before="0" w:after="170"/>
              <w:rPr>
                <w:rFonts w:ascii="Verdana" w:hAnsi="Verdana"/>
              </w:rPr>
            </w:pPr>
            <w:r>
              <w:rPr>
                <w:rFonts w:ascii="Verdana" w:hAnsi="Verdana"/>
              </w:rPr>
              <w:t>carry an object as heavy as five kilograms over a distance</w:t>
            </w:r>
          </w:p>
          <w:p w14:paraId="29082FF9" w14:textId="77777777" w:rsidR="00CC5F20" w:rsidRDefault="00CC5F20" w:rsidP="0031756F">
            <w:pPr>
              <w:pStyle w:val="ListParagraph"/>
              <w:numPr>
                <w:ilvl w:val="0"/>
                <w:numId w:val="35"/>
              </w:numPr>
              <w:spacing w:before="0" w:after="170"/>
              <w:rPr>
                <w:rFonts w:ascii="Verdana" w:hAnsi="Verdana"/>
              </w:rPr>
            </w:pPr>
            <w:r>
              <w:rPr>
                <w:rFonts w:ascii="Verdana" w:hAnsi="Verdana"/>
              </w:rPr>
              <w:t>move from room to room within the home</w:t>
            </w:r>
          </w:p>
          <w:p w14:paraId="3A252253" w14:textId="77777777" w:rsidR="00CC5F20" w:rsidRDefault="00CC5F20" w:rsidP="0031756F">
            <w:pPr>
              <w:pStyle w:val="ListParagraph"/>
              <w:numPr>
                <w:ilvl w:val="0"/>
                <w:numId w:val="35"/>
              </w:numPr>
              <w:spacing w:before="0" w:after="170"/>
              <w:rPr>
                <w:rFonts w:ascii="Verdana" w:hAnsi="Verdana"/>
              </w:rPr>
            </w:pPr>
            <w:r>
              <w:rPr>
                <w:rFonts w:ascii="Verdana" w:hAnsi="Verdana"/>
              </w:rPr>
              <w:t>stand for period of 20 minutes</w:t>
            </w:r>
          </w:p>
          <w:p w14:paraId="3DA28CD7" w14:textId="77777777" w:rsidR="00CC5F20" w:rsidRDefault="00CC5F20" w:rsidP="0031756F">
            <w:pPr>
              <w:pStyle w:val="ListParagraph"/>
              <w:numPr>
                <w:ilvl w:val="0"/>
                <w:numId w:val="35"/>
              </w:numPr>
              <w:spacing w:before="0" w:after="170"/>
              <w:rPr>
                <w:rFonts w:ascii="Verdana" w:hAnsi="Verdana"/>
              </w:rPr>
            </w:pPr>
            <w:r>
              <w:rPr>
                <w:rFonts w:ascii="Verdana" w:hAnsi="Verdana"/>
              </w:rPr>
              <w:t>bend down without support</w:t>
            </w:r>
          </w:p>
          <w:p w14:paraId="2001E0E9" w14:textId="77777777" w:rsidR="00CC5F20" w:rsidRPr="009B1190" w:rsidRDefault="00CC5F20" w:rsidP="0031756F">
            <w:pPr>
              <w:pStyle w:val="ListParagraph"/>
              <w:numPr>
                <w:ilvl w:val="0"/>
                <w:numId w:val="35"/>
              </w:numPr>
              <w:spacing w:before="0" w:after="170"/>
              <w:rPr>
                <w:rFonts w:ascii="Verdana" w:hAnsi="Verdana"/>
              </w:rPr>
            </w:pPr>
            <w:r>
              <w:rPr>
                <w:rFonts w:ascii="Verdana" w:hAnsi="Verdana"/>
              </w:rPr>
              <w:t>get in and out of bed independently.</w:t>
            </w:r>
          </w:p>
        </w:tc>
      </w:tr>
      <w:tr w:rsidR="00C96627" w:rsidRPr="001C416A" w14:paraId="7C8298EE" w14:textId="77777777" w:rsidTr="0031756F">
        <w:trPr>
          <w:jc w:val="center"/>
        </w:trPr>
        <w:tc>
          <w:tcPr>
            <w:tcW w:w="1843" w:type="dxa"/>
          </w:tcPr>
          <w:p w14:paraId="683C6A5E" w14:textId="51E532B7" w:rsidR="00C96627" w:rsidRPr="00C96627" w:rsidRDefault="00C96627" w:rsidP="0031756F">
            <w:pPr>
              <w:rPr>
                <w:rFonts w:ascii="Verdana" w:hAnsi="Verdana"/>
              </w:rPr>
            </w:pPr>
            <w:r>
              <w:rPr>
                <w:rFonts w:ascii="Verdana" w:hAnsi="Verdana"/>
              </w:rPr>
              <w:t>Psychological/psychiatric impairments (in adults)</w:t>
            </w:r>
          </w:p>
        </w:tc>
        <w:tc>
          <w:tcPr>
            <w:tcW w:w="8080" w:type="dxa"/>
          </w:tcPr>
          <w:p w14:paraId="5F4E683C" w14:textId="0350A880" w:rsidR="00C96627" w:rsidRDefault="00C96627" w:rsidP="00C96627">
            <w:pPr>
              <w:rPr>
                <w:rFonts w:ascii="Verdana" w:hAnsi="Verdana"/>
                <w:color w:val="444444"/>
              </w:rPr>
            </w:pPr>
            <w:r>
              <w:rPr>
                <w:rFonts w:ascii="Verdana" w:hAnsi="Verdana"/>
              </w:rPr>
              <w:t xml:space="preserve">Adults with a psychological/psychiatric impairment have </w:t>
            </w:r>
            <w:r w:rsidRPr="00C96627">
              <w:rPr>
                <w:rFonts w:ascii="Verdana" w:hAnsi="Verdana"/>
                <w:color w:val="444444"/>
              </w:rPr>
              <w:t>a lon</w:t>
            </w:r>
            <w:r w:rsidR="004E0062">
              <w:rPr>
                <w:rFonts w:ascii="Verdana" w:hAnsi="Verdana"/>
                <w:color w:val="444444"/>
              </w:rPr>
              <w:t>g-term emotional, psychological</w:t>
            </w:r>
            <w:r w:rsidRPr="00C96627">
              <w:rPr>
                <w:rFonts w:ascii="Verdana" w:hAnsi="Verdana"/>
                <w:color w:val="444444"/>
              </w:rPr>
              <w:t xml:space="preserve"> or psychiatric condition that causes:</w:t>
            </w:r>
          </w:p>
          <w:p w14:paraId="008DD1EA" w14:textId="77777777" w:rsidR="00C96627" w:rsidRPr="00C96627" w:rsidRDefault="00C96627" w:rsidP="00C96627">
            <w:pPr>
              <w:pStyle w:val="ListParagraph"/>
              <w:numPr>
                <w:ilvl w:val="0"/>
                <w:numId w:val="40"/>
              </w:numPr>
            </w:pPr>
            <w:r>
              <w:rPr>
                <w:rFonts w:ascii="Verdana" w:hAnsi="Verdana"/>
              </w:rPr>
              <w:t>difficulty with everyday activities, or</w:t>
            </w:r>
          </w:p>
          <w:p w14:paraId="70C97B0D" w14:textId="7813196C" w:rsidR="00C96627" w:rsidRPr="00C96627" w:rsidRDefault="00C96627" w:rsidP="00C96627">
            <w:pPr>
              <w:pStyle w:val="ListParagraph"/>
              <w:numPr>
                <w:ilvl w:val="0"/>
                <w:numId w:val="40"/>
              </w:numPr>
              <w:rPr>
                <w:rFonts w:ascii="Verdana" w:hAnsi="Verdana"/>
              </w:rPr>
            </w:pPr>
            <w:r w:rsidRPr="00C96627">
              <w:rPr>
                <w:rFonts w:ascii="Verdana" w:hAnsi="Verdana"/>
                <w:color w:val="444444"/>
              </w:rPr>
              <w:t>difficulty communicating, mixing with others, or socialising.</w:t>
            </w:r>
          </w:p>
        </w:tc>
      </w:tr>
      <w:tr w:rsidR="004E0062" w:rsidRPr="004E0062" w14:paraId="051E3D29" w14:textId="77777777" w:rsidTr="0031756F">
        <w:trPr>
          <w:jc w:val="center"/>
        </w:trPr>
        <w:tc>
          <w:tcPr>
            <w:tcW w:w="1843" w:type="dxa"/>
          </w:tcPr>
          <w:p w14:paraId="17D071C0" w14:textId="21DA76A1" w:rsidR="004E0062" w:rsidRPr="004E0062" w:rsidRDefault="004E0062" w:rsidP="0031756F">
            <w:pPr>
              <w:rPr>
                <w:rFonts w:ascii="Verdana" w:hAnsi="Verdana"/>
              </w:rPr>
            </w:pPr>
            <w:r>
              <w:rPr>
                <w:rFonts w:ascii="Verdana" w:hAnsi="Verdana"/>
              </w:rPr>
              <w:t>Hearing impairment (in adults)</w:t>
            </w:r>
          </w:p>
        </w:tc>
        <w:tc>
          <w:tcPr>
            <w:tcW w:w="8080" w:type="dxa"/>
          </w:tcPr>
          <w:p w14:paraId="74D7B58F" w14:textId="77777777" w:rsidR="004E0062" w:rsidRDefault="004E0062" w:rsidP="004E0062">
            <w:pPr>
              <w:rPr>
                <w:rFonts w:ascii="Helvetica" w:hAnsi="Helvetica"/>
                <w:color w:val="444444"/>
              </w:rPr>
            </w:pPr>
            <w:r w:rsidRPr="004E0062">
              <w:rPr>
                <w:rFonts w:ascii="Helvetica" w:hAnsi="Helvetica"/>
                <w:color w:val="444444"/>
              </w:rPr>
              <w:t>Adults with a hearing impairment</w:t>
            </w:r>
          </w:p>
          <w:p w14:paraId="25FB04F9" w14:textId="2F318C0B" w:rsidR="004E0062" w:rsidRPr="004E0062" w:rsidRDefault="00161420" w:rsidP="004E0062">
            <w:pPr>
              <w:pStyle w:val="ListParagraph"/>
              <w:numPr>
                <w:ilvl w:val="0"/>
                <w:numId w:val="42"/>
              </w:numPr>
              <w:rPr>
                <w:rFonts w:ascii="Helvetica" w:hAnsi="Helvetica"/>
                <w:color w:val="444444"/>
              </w:rPr>
            </w:pPr>
            <w:r>
              <w:rPr>
                <w:rFonts w:ascii="Helvetica" w:hAnsi="Helvetica"/>
                <w:color w:val="444444"/>
              </w:rPr>
              <w:t>cannot hear, or have difficulty hearing, what is said in a conversation</w:t>
            </w:r>
          </w:p>
          <w:p w14:paraId="44B7DAC9" w14:textId="77777777" w:rsidR="00161420" w:rsidRDefault="004E0062" w:rsidP="00161420">
            <w:pPr>
              <w:pStyle w:val="ListParagraph"/>
              <w:ind w:left="795"/>
              <w:rPr>
                <w:rFonts w:ascii="Helvetica" w:hAnsi="Helvetica"/>
                <w:color w:val="444444"/>
              </w:rPr>
            </w:pPr>
            <w:r>
              <w:rPr>
                <w:rFonts w:ascii="Helvetica" w:hAnsi="Helvetica"/>
                <w:color w:val="444444"/>
              </w:rPr>
              <w:t>with one other person</w:t>
            </w:r>
            <w:r w:rsidR="00161420">
              <w:rPr>
                <w:rFonts w:ascii="Helvetica" w:hAnsi="Helvetica"/>
                <w:color w:val="444444"/>
              </w:rPr>
              <w:t>,</w:t>
            </w:r>
            <w:r>
              <w:rPr>
                <w:rFonts w:ascii="Helvetica" w:hAnsi="Helvetica"/>
                <w:color w:val="444444"/>
              </w:rPr>
              <w:t xml:space="preserve"> and/or</w:t>
            </w:r>
          </w:p>
          <w:p w14:paraId="32A87F09" w14:textId="4D5E923F" w:rsidR="004E0062" w:rsidRPr="004E0062" w:rsidRDefault="00161420" w:rsidP="00161420">
            <w:pPr>
              <w:pStyle w:val="ListParagraph"/>
              <w:numPr>
                <w:ilvl w:val="0"/>
                <w:numId w:val="42"/>
              </w:numPr>
              <w:ind w:left="795"/>
              <w:rPr>
                <w:rFonts w:ascii="Verdana" w:hAnsi="Verdana"/>
              </w:rPr>
            </w:pPr>
            <w:r w:rsidRPr="00161420">
              <w:rPr>
                <w:rFonts w:ascii="Helvetica" w:hAnsi="Helvetica"/>
                <w:color w:val="444444"/>
              </w:rPr>
              <w:t xml:space="preserve">what is said in a </w:t>
            </w:r>
            <w:r w:rsidR="004E0062">
              <w:rPr>
                <w:rFonts w:ascii="Helvetica" w:hAnsi="Helvetica"/>
                <w:color w:val="444444"/>
              </w:rPr>
              <w:t>group conversation with three or more people, even when using an assistive hearing device such as a hearing aid.</w:t>
            </w:r>
          </w:p>
        </w:tc>
      </w:tr>
      <w:tr w:rsidR="00C96627" w:rsidRPr="001C416A" w14:paraId="6749B436" w14:textId="77777777" w:rsidTr="0031756F">
        <w:trPr>
          <w:jc w:val="center"/>
        </w:trPr>
        <w:tc>
          <w:tcPr>
            <w:tcW w:w="1843" w:type="dxa"/>
          </w:tcPr>
          <w:p w14:paraId="48163EA9" w14:textId="09EB8046" w:rsidR="00C96627" w:rsidRPr="004E0062" w:rsidRDefault="004E0062" w:rsidP="0031756F">
            <w:pPr>
              <w:rPr>
                <w:rFonts w:ascii="Verdana" w:hAnsi="Verdana"/>
              </w:rPr>
            </w:pPr>
            <w:r>
              <w:rPr>
                <w:rFonts w:ascii="Verdana" w:hAnsi="Verdana"/>
              </w:rPr>
              <w:t>Vision impairment (in adults)</w:t>
            </w:r>
          </w:p>
        </w:tc>
        <w:tc>
          <w:tcPr>
            <w:tcW w:w="8080" w:type="dxa"/>
          </w:tcPr>
          <w:p w14:paraId="368425F9" w14:textId="494CBD5C" w:rsidR="004E0062" w:rsidRPr="004E0062" w:rsidRDefault="004E0062" w:rsidP="004E0062">
            <w:pPr>
              <w:rPr>
                <w:rFonts w:ascii="Verdana" w:hAnsi="Verdana"/>
                <w:color w:val="444444"/>
              </w:rPr>
            </w:pPr>
            <w:r w:rsidRPr="004E0062">
              <w:rPr>
                <w:rFonts w:ascii="Verdana" w:hAnsi="Verdana"/>
                <w:color w:val="444444"/>
              </w:rPr>
              <w:t>Adults with</w:t>
            </w:r>
            <w:r>
              <w:rPr>
                <w:rFonts w:ascii="Verdana" w:hAnsi="Verdana"/>
                <w:color w:val="444444"/>
              </w:rPr>
              <w:t xml:space="preserve"> a</w:t>
            </w:r>
            <w:r w:rsidRPr="004E0062">
              <w:rPr>
                <w:rFonts w:ascii="Verdana" w:hAnsi="Verdana"/>
                <w:color w:val="444444"/>
              </w:rPr>
              <w:t xml:space="preserve"> vision impairment have</w:t>
            </w:r>
            <w:r>
              <w:rPr>
                <w:rFonts w:ascii="Verdana" w:hAnsi="Verdana"/>
                <w:color w:val="444444"/>
              </w:rPr>
              <w:t xml:space="preserve"> difficulty seeing, or cannot see</w:t>
            </w:r>
            <w:r w:rsidRPr="004E0062">
              <w:rPr>
                <w:rFonts w:ascii="Verdana" w:hAnsi="Verdana"/>
                <w:color w:val="444444"/>
              </w:rPr>
              <w:t>:</w:t>
            </w:r>
          </w:p>
          <w:p w14:paraId="2C0D4A65" w14:textId="6EB9D5D9" w:rsidR="004E0062" w:rsidRPr="004E0062" w:rsidRDefault="004E0062" w:rsidP="004E0062">
            <w:pPr>
              <w:pStyle w:val="ListParagraph"/>
              <w:numPr>
                <w:ilvl w:val="0"/>
                <w:numId w:val="41"/>
              </w:numPr>
              <w:rPr>
                <w:rFonts w:ascii="Verdana" w:hAnsi="Verdana"/>
              </w:rPr>
            </w:pPr>
            <w:r w:rsidRPr="004E0062">
              <w:rPr>
                <w:rFonts w:ascii="Verdana" w:hAnsi="Verdana"/>
                <w:color w:val="444444"/>
              </w:rPr>
              <w:t xml:space="preserve">ordinary newsprint, and/or </w:t>
            </w:r>
          </w:p>
          <w:p w14:paraId="186EA201" w14:textId="14EBC2A9" w:rsidR="00C96627" w:rsidRPr="004E0062" w:rsidRDefault="004E0062" w:rsidP="004E0062">
            <w:pPr>
              <w:pStyle w:val="ListParagraph"/>
              <w:numPr>
                <w:ilvl w:val="0"/>
                <w:numId w:val="41"/>
              </w:numPr>
              <w:rPr>
                <w:rFonts w:ascii="Verdana" w:hAnsi="Verdana"/>
              </w:rPr>
            </w:pPr>
            <w:r w:rsidRPr="004E0062">
              <w:rPr>
                <w:rFonts w:ascii="Verdana" w:hAnsi="Verdana"/>
                <w:color w:val="444444"/>
              </w:rPr>
              <w:t>the face of someone from across a room, even when wearing corrective lenses.</w:t>
            </w:r>
          </w:p>
        </w:tc>
      </w:tr>
      <w:tr w:rsidR="00CC5F20" w:rsidRPr="001C416A" w14:paraId="6E91A410" w14:textId="77777777" w:rsidTr="0031756F">
        <w:trPr>
          <w:jc w:val="center"/>
        </w:trPr>
        <w:tc>
          <w:tcPr>
            <w:tcW w:w="1843" w:type="dxa"/>
          </w:tcPr>
          <w:p w14:paraId="31B610E8" w14:textId="77777777" w:rsidR="00CC5F20" w:rsidRPr="001C416A" w:rsidRDefault="00CC5F20" w:rsidP="0031756F">
            <w:pPr>
              <w:rPr>
                <w:rFonts w:ascii="Verdana" w:hAnsi="Verdana"/>
              </w:rPr>
            </w:pPr>
            <w:r w:rsidRPr="001C416A">
              <w:rPr>
                <w:rFonts w:ascii="Verdana" w:hAnsi="Verdana"/>
              </w:rPr>
              <w:t>Labour force</w:t>
            </w:r>
          </w:p>
        </w:tc>
        <w:tc>
          <w:tcPr>
            <w:tcW w:w="8080" w:type="dxa"/>
          </w:tcPr>
          <w:p w14:paraId="30B36E0D" w14:textId="77777777" w:rsidR="00CC5F20" w:rsidRPr="001C416A" w:rsidRDefault="00CC5F20" w:rsidP="0031756F">
            <w:pPr>
              <w:rPr>
                <w:rFonts w:ascii="Verdana" w:hAnsi="Verdana"/>
              </w:rPr>
            </w:pPr>
            <w:r w:rsidRPr="001C416A">
              <w:rPr>
                <w:rFonts w:ascii="Verdana" w:hAnsi="Verdana"/>
              </w:rPr>
              <w:t>The working-age population of the usually resident, non-institutionalised, civilian population of New Zealand aged 15 years and over, who are either employed or unemployed</w:t>
            </w:r>
          </w:p>
        </w:tc>
      </w:tr>
      <w:tr w:rsidR="00CC5F20" w:rsidRPr="001C416A" w14:paraId="3D65E5C2" w14:textId="77777777" w:rsidTr="0031756F">
        <w:trPr>
          <w:jc w:val="center"/>
        </w:trPr>
        <w:tc>
          <w:tcPr>
            <w:tcW w:w="1843" w:type="dxa"/>
          </w:tcPr>
          <w:p w14:paraId="644FF49E" w14:textId="77777777" w:rsidR="00CC5F20" w:rsidRPr="001C416A" w:rsidRDefault="00CC5F20" w:rsidP="0031756F">
            <w:pPr>
              <w:rPr>
                <w:rFonts w:ascii="Verdana" w:hAnsi="Verdana"/>
              </w:rPr>
            </w:pPr>
            <w:r w:rsidRPr="001C416A">
              <w:rPr>
                <w:rFonts w:ascii="Verdana" w:hAnsi="Verdana"/>
              </w:rPr>
              <w:lastRenderedPageBreak/>
              <w:t>Labour force participation rate</w:t>
            </w:r>
          </w:p>
        </w:tc>
        <w:tc>
          <w:tcPr>
            <w:tcW w:w="8080" w:type="dxa"/>
          </w:tcPr>
          <w:p w14:paraId="6A684682" w14:textId="77777777" w:rsidR="00CC5F20" w:rsidRPr="001C416A" w:rsidRDefault="00CC5F20" w:rsidP="0031756F">
            <w:pPr>
              <w:rPr>
                <w:rFonts w:ascii="Verdana" w:hAnsi="Verdana"/>
              </w:rPr>
            </w:pPr>
            <w:r w:rsidRPr="001C416A">
              <w:rPr>
                <w:rFonts w:ascii="Verdana" w:hAnsi="Verdana"/>
              </w:rPr>
              <w:t>The number of people in the labour force (either employed or unemployed) as a percentage of the number of people in the working-age population (aged 15 years and over)</w:t>
            </w:r>
          </w:p>
        </w:tc>
      </w:tr>
      <w:tr w:rsidR="00CC5F20" w:rsidRPr="001C416A" w14:paraId="139760D1" w14:textId="77777777" w:rsidTr="0031756F">
        <w:trPr>
          <w:jc w:val="center"/>
        </w:trPr>
        <w:tc>
          <w:tcPr>
            <w:tcW w:w="1843" w:type="dxa"/>
          </w:tcPr>
          <w:p w14:paraId="092C18F9" w14:textId="77777777" w:rsidR="00CC5F20" w:rsidRPr="001C416A" w:rsidRDefault="00CC5F20" w:rsidP="0031756F">
            <w:pPr>
              <w:rPr>
                <w:rFonts w:ascii="Verdana" w:hAnsi="Verdana"/>
              </w:rPr>
            </w:pPr>
            <w:r w:rsidRPr="001C416A">
              <w:rPr>
                <w:rFonts w:ascii="Verdana" w:hAnsi="Verdana"/>
              </w:rPr>
              <w:t>Not in the labour force</w:t>
            </w:r>
          </w:p>
        </w:tc>
        <w:tc>
          <w:tcPr>
            <w:tcW w:w="8080" w:type="dxa"/>
          </w:tcPr>
          <w:p w14:paraId="7BC6C598" w14:textId="77777777" w:rsidR="00CC5F20" w:rsidRPr="001C416A" w:rsidRDefault="00CC5F20" w:rsidP="0031756F">
            <w:pPr>
              <w:rPr>
                <w:rFonts w:ascii="Verdana" w:hAnsi="Verdana"/>
              </w:rPr>
            </w:pPr>
            <w:r w:rsidRPr="001C416A">
              <w:rPr>
                <w:rFonts w:ascii="Verdana" w:hAnsi="Verdana"/>
              </w:rPr>
              <w:t>People of working-age who are neith</w:t>
            </w:r>
            <w:r>
              <w:rPr>
                <w:rFonts w:ascii="Verdana" w:hAnsi="Verdana"/>
              </w:rPr>
              <w:t>er employed nor unemployed (for example,</w:t>
            </w:r>
            <w:r w:rsidRPr="001C416A">
              <w:rPr>
                <w:rFonts w:ascii="Verdana" w:hAnsi="Verdana"/>
              </w:rPr>
              <w:t xml:space="preserve"> retired people, people who have personal or family responsibilities like childcare, permanently unable to work)</w:t>
            </w:r>
          </w:p>
        </w:tc>
      </w:tr>
      <w:tr w:rsidR="00CC5F20" w:rsidRPr="001C416A" w14:paraId="5E2E3DE1" w14:textId="77777777" w:rsidTr="0031756F">
        <w:trPr>
          <w:jc w:val="center"/>
        </w:trPr>
        <w:tc>
          <w:tcPr>
            <w:tcW w:w="1843" w:type="dxa"/>
          </w:tcPr>
          <w:p w14:paraId="3169EA7F" w14:textId="77777777" w:rsidR="00CC5F20" w:rsidRPr="001C416A" w:rsidRDefault="00CC5F20" w:rsidP="0031756F">
            <w:pPr>
              <w:rPr>
                <w:rFonts w:ascii="Verdana" w:hAnsi="Verdana"/>
              </w:rPr>
            </w:pPr>
            <w:r w:rsidRPr="001C416A">
              <w:rPr>
                <w:rFonts w:ascii="Verdana" w:hAnsi="Verdana"/>
              </w:rPr>
              <w:t>Employed</w:t>
            </w:r>
          </w:p>
        </w:tc>
        <w:tc>
          <w:tcPr>
            <w:tcW w:w="8080" w:type="dxa"/>
          </w:tcPr>
          <w:p w14:paraId="4755E94C" w14:textId="77777777" w:rsidR="00CC5F20" w:rsidRPr="001C416A" w:rsidRDefault="00CC5F20" w:rsidP="0031756F">
            <w:pPr>
              <w:rPr>
                <w:rFonts w:ascii="Verdana" w:hAnsi="Verdana"/>
              </w:rPr>
            </w:pPr>
            <w:r w:rsidRPr="001C416A">
              <w:rPr>
                <w:rFonts w:ascii="Verdana" w:hAnsi="Verdana"/>
              </w:rPr>
              <w:t>People in the working-age population (aged</w:t>
            </w:r>
            <w:r>
              <w:rPr>
                <w:rFonts w:ascii="Verdana" w:hAnsi="Verdana"/>
              </w:rPr>
              <w:t xml:space="preserve"> </w:t>
            </w:r>
            <w:r w:rsidRPr="001C416A">
              <w:rPr>
                <w:rFonts w:ascii="Verdana" w:hAnsi="Verdana"/>
              </w:rPr>
              <w:t>15 years and over) who:</w:t>
            </w:r>
          </w:p>
          <w:p w14:paraId="45E3D64F" w14:textId="77777777" w:rsidR="00CC5F20" w:rsidRPr="00703B1F" w:rsidRDefault="00CC5F20" w:rsidP="0031756F">
            <w:pPr>
              <w:pStyle w:val="ListParagraph"/>
              <w:numPr>
                <w:ilvl w:val="0"/>
                <w:numId w:val="32"/>
              </w:numPr>
              <w:spacing w:before="0" w:after="170"/>
              <w:rPr>
                <w:rFonts w:ascii="Verdana" w:hAnsi="Verdana"/>
              </w:rPr>
            </w:pPr>
            <w:r w:rsidRPr="00703B1F">
              <w:rPr>
                <w:rFonts w:ascii="Verdana" w:hAnsi="Verdana"/>
              </w:rPr>
              <w:t>work for pay, profit or income for an hour or more</w:t>
            </w:r>
          </w:p>
          <w:p w14:paraId="50A17C66" w14:textId="77777777" w:rsidR="00CC5F20" w:rsidRPr="00703B1F" w:rsidRDefault="00CC5F20" w:rsidP="0031756F">
            <w:pPr>
              <w:pStyle w:val="ListParagraph"/>
              <w:numPr>
                <w:ilvl w:val="0"/>
                <w:numId w:val="32"/>
              </w:numPr>
              <w:spacing w:before="0" w:after="170"/>
              <w:rPr>
                <w:rFonts w:ascii="Verdana" w:hAnsi="Verdana"/>
              </w:rPr>
            </w:pPr>
            <w:r w:rsidRPr="00703B1F">
              <w:rPr>
                <w:rFonts w:ascii="Verdana" w:hAnsi="Verdana"/>
              </w:rPr>
              <w:t>work without pay in a family business or on a family farm.</w:t>
            </w:r>
          </w:p>
        </w:tc>
      </w:tr>
      <w:tr w:rsidR="00CC5F20" w:rsidRPr="001C416A" w14:paraId="3814B6A0" w14:textId="77777777" w:rsidTr="0031756F">
        <w:trPr>
          <w:jc w:val="center"/>
        </w:trPr>
        <w:tc>
          <w:tcPr>
            <w:tcW w:w="1843" w:type="dxa"/>
          </w:tcPr>
          <w:p w14:paraId="2F08BF00" w14:textId="77777777" w:rsidR="00CC5F20" w:rsidRPr="001C416A" w:rsidRDefault="00CC5F20" w:rsidP="0031756F">
            <w:pPr>
              <w:rPr>
                <w:rFonts w:ascii="Verdana" w:hAnsi="Verdana"/>
              </w:rPr>
            </w:pPr>
            <w:r w:rsidRPr="001C416A">
              <w:rPr>
                <w:rFonts w:ascii="Verdana" w:hAnsi="Verdana"/>
              </w:rPr>
              <w:t>Employed full-time</w:t>
            </w:r>
          </w:p>
        </w:tc>
        <w:tc>
          <w:tcPr>
            <w:tcW w:w="8080" w:type="dxa"/>
          </w:tcPr>
          <w:p w14:paraId="7D9429CE" w14:textId="77777777" w:rsidR="00CC5F20" w:rsidRPr="001C416A" w:rsidRDefault="00CC5F20" w:rsidP="0031756F">
            <w:pPr>
              <w:rPr>
                <w:rFonts w:ascii="Verdana" w:hAnsi="Verdana"/>
              </w:rPr>
            </w:pPr>
            <w:r w:rsidRPr="001C416A">
              <w:rPr>
                <w:rFonts w:ascii="Verdana" w:hAnsi="Verdana"/>
              </w:rPr>
              <w:t>Usually working 30 or more hours per week</w:t>
            </w:r>
          </w:p>
        </w:tc>
      </w:tr>
    </w:tbl>
    <w:p w14:paraId="446168D5" w14:textId="77777777" w:rsidR="00035DDE" w:rsidRDefault="00035DDE" w:rsidP="00CC5F20"/>
    <w:p w14:paraId="67FF91B6" w14:textId="77777777" w:rsidR="00035DDE" w:rsidRDefault="00035DDE" w:rsidP="00CC5F20"/>
    <w:p w14:paraId="5285E741" w14:textId="77777777" w:rsidR="00035DDE" w:rsidRDefault="00035DDE" w:rsidP="00CC5F20"/>
    <w:p w14:paraId="76059748" w14:textId="77777777" w:rsidR="00035DDE" w:rsidRDefault="00035DDE" w:rsidP="00CC5F20"/>
    <w:p w14:paraId="4F8989DC" w14:textId="77777777" w:rsidR="00035DDE" w:rsidRDefault="00035DDE" w:rsidP="00CC5F20"/>
    <w:p w14:paraId="6A7A9B8E" w14:textId="77777777" w:rsidR="00035DDE" w:rsidRDefault="00035DDE" w:rsidP="00CC5F20"/>
    <w:p w14:paraId="7CAE803B" w14:textId="77777777" w:rsidR="00035DDE" w:rsidRDefault="00035DDE" w:rsidP="00CC5F20"/>
    <w:p w14:paraId="4D7A5BFB" w14:textId="77777777" w:rsidR="00035DDE" w:rsidRDefault="00035DDE" w:rsidP="00CC5F20"/>
    <w:p w14:paraId="6A279275" w14:textId="77777777" w:rsidR="00035DDE" w:rsidRDefault="00035DDE" w:rsidP="00CC5F20"/>
    <w:p w14:paraId="0B2A9063" w14:textId="77777777" w:rsidR="00035DDE" w:rsidRDefault="00035DDE" w:rsidP="00CC5F20"/>
    <w:p w14:paraId="7AF1DF6E" w14:textId="77777777" w:rsidR="00035DDE" w:rsidRDefault="00035DDE" w:rsidP="00CC5F20"/>
    <w:p w14:paraId="2C158B61" w14:textId="77777777" w:rsidR="00035DDE" w:rsidRDefault="00035DDE" w:rsidP="00CC5F20"/>
    <w:p w14:paraId="5190CAD9" w14:textId="77777777" w:rsidR="00035DDE" w:rsidRDefault="00035DDE" w:rsidP="00CC5F20"/>
    <w:p w14:paraId="3AC2D307" w14:textId="77777777" w:rsidR="00035DDE" w:rsidRDefault="00035DDE" w:rsidP="00CC5F20"/>
    <w:p w14:paraId="5F269878" w14:textId="77777777" w:rsidR="00035DDE" w:rsidRDefault="00035DDE" w:rsidP="00CC5F20"/>
    <w:p w14:paraId="66B42722" w14:textId="77777777" w:rsidR="00035DDE" w:rsidRDefault="00035DDE" w:rsidP="00CC5F20"/>
    <w:p w14:paraId="284E20A4" w14:textId="77777777" w:rsidR="00035DDE" w:rsidRDefault="00035DDE" w:rsidP="00CC5F20"/>
    <w:p w14:paraId="5846EC86" w14:textId="77777777" w:rsidR="00035DDE" w:rsidRDefault="00035DDE" w:rsidP="00CC5F20"/>
    <w:p w14:paraId="33ECAC51" w14:textId="77777777" w:rsidR="00035DDE" w:rsidRDefault="00035DDE" w:rsidP="00CC5F20"/>
    <w:p w14:paraId="199B7EE3" w14:textId="77777777" w:rsidR="00035DDE" w:rsidRDefault="00035DDE" w:rsidP="00CC5F20"/>
    <w:p w14:paraId="7D5F8DAC" w14:textId="77777777" w:rsidR="00035DDE" w:rsidRDefault="00035DDE" w:rsidP="00CC5F20"/>
    <w:p w14:paraId="55CAFD10" w14:textId="77777777" w:rsidR="00035DDE" w:rsidRDefault="00035DDE" w:rsidP="00CC5F20"/>
    <w:p w14:paraId="2586C2F1" w14:textId="77777777" w:rsidR="00035DDE" w:rsidRPr="0051356B" w:rsidRDefault="00035DDE" w:rsidP="00035DDE">
      <w:pPr>
        <w:rPr>
          <w:u w:val="single"/>
        </w:rPr>
      </w:pPr>
      <w:r>
        <w:t>Ref: A8823512</w:t>
      </w:r>
    </w:p>
    <w:p w14:paraId="3DF16B79" w14:textId="61D42F16" w:rsidR="00035DDE" w:rsidRDefault="00035DDE" w:rsidP="00035DDE">
      <w:r>
        <w:t xml:space="preserve">Author: </w:t>
      </w:r>
      <w:r w:rsidR="001E39D2">
        <w:t xml:space="preserve">Dr </w:t>
      </w:r>
      <w:bookmarkStart w:id="3" w:name="_GoBack"/>
      <w:bookmarkEnd w:id="3"/>
      <w:r>
        <w:t>Catherine Brennan, Advisor, Office for Disability Issues</w:t>
      </w:r>
    </w:p>
    <w:p w14:paraId="71B4C537" w14:textId="77777777" w:rsidR="00035DDE" w:rsidRDefault="00035DDE" w:rsidP="00035DDE">
      <w:r>
        <w:t>Responsible manager: Megan McCoy</w:t>
      </w:r>
    </w:p>
    <w:p w14:paraId="3EFEBB07" w14:textId="7BD40A47" w:rsidR="00035DDE" w:rsidRDefault="00035DDE" w:rsidP="00035DDE">
      <w:pPr>
        <w:suppressAutoHyphens w:val="0"/>
        <w:autoSpaceDE/>
        <w:autoSpaceDN/>
        <w:adjustRightInd/>
        <w:spacing w:before="0" w:after="0" w:line="240" w:lineRule="auto"/>
        <w:textAlignment w:val="auto"/>
        <w:rPr>
          <w:rFonts w:cs="Times New Roman"/>
          <w:sz w:val="18"/>
          <w:szCs w:val="16"/>
          <w:lang w:eastAsia="x-none"/>
        </w:rPr>
      </w:pPr>
    </w:p>
    <w:sectPr w:rsidR="00035DDE" w:rsidSect="006A72A2">
      <w:headerReference w:type="even" r:id="rId14"/>
      <w:headerReference w:type="default" r:id="rId15"/>
      <w:footerReference w:type="even" r:id="rId16"/>
      <w:footerReference w:type="default" r:id="rId17"/>
      <w:headerReference w:type="first" r:id="rId18"/>
      <w:footerReference w:type="first" r:id="rId19"/>
      <w:pgSz w:w="11906" w:h="16838" w:code="9"/>
      <w:pgMar w:top="1134" w:right="1286" w:bottom="284" w:left="1440" w:header="709" w:footer="454"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0EB7A" w15:done="0"/>
  <w15:commentEx w15:paraId="26172359" w15:done="0"/>
  <w15:commentEx w15:paraId="60B3C467" w15:done="0"/>
  <w15:commentEx w15:paraId="3616E3D6" w15:done="0"/>
  <w15:commentEx w15:paraId="2A274CD9" w15:done="0"/>
  <w15:commentEx w15:paraId="6E08A001" w15:done="0"/>
  <w15:commentEx w15:paraId="462D2313" w15:done="0"/>
  <w15:commentEx w15:paraId="6A0DFCC1" w15:done="0"/>
  <w15:commentEx w15:paraId="26C17708" w15:done="0"/>
  <w15:commentEx w15:paraId="729A1081" w15:done="0"/>
  <w15:commentEx w15:paraId="09C3EE91" w15:done="0"/>
  <w15:commentEx w15:paraId="0D8484F6" w15:done="0"/>
  <w15:commentEx w15:paraId="2FCFA7DD" w15:done="0"/>
  <w15:commentEx w15:paraId="1BCEAC10" w15:done="0"/>
  <w15:commentEx w15:paraId="3E88DB11" w15:done="0"/>
  <w15:commentEx w15:paraId="77C158E2" w15:done="0"/>
  <w15:commentEx w15:paraId="6CB75863" w15:done="0"/>
  <w15:commentEx w15:paraId="2E39672A" w15:done="0"/>
  <w15:commentEx w15:paraId="53BC1796" w15:done="0"/>
  <w15:commentEx w15:paraId="4CA67D57" w15:done="0"/>
  <w15:commentEx w15:paraId="6E5F92B4" w15:done="0"/>
  <w15:commentEx w15:paraId="6C9DB253" w15:done="0"/>
  <w15:commentEx w15:paraId="701B27CA" w15:done="0"/>
  <w15:commentEx w15:paraId="272ACE4D" w15:done="0"/>
  <w15:commentEx w15:paraId="2FD04840" w15:done="0"/>
  <w15:commentEx w15:paraId="42383A3E" w15:done="0"/>
  <w15:commentEx w15:paraId="2DF3E00E" w15:done="0"/>
  <w15:commentEx w15:paraId="3C7E509A" w15:done="0"/>
  <w15:commentEx w15:paraId="3182634E" w15:done="0"/>
  <w15:commentEx w15:paraId="7529766D" w15:done="0"/>
  <w15:commentEx w15:paraId="079E1A61" w15:done="0"/>
  <w15:commentEx w15:paraId="38BD3449" w15:done="0"/>
  <w15:commentEx w15:paraId="7BC50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95E2" w14:textId="77777777" w:rsidR="00724D9F" w:rsidRDefault="00724D9F">
      <w:r>
        <w:separator/>
      </w:r>
    </w:p>
    <w:p w14:paraId="6FE4EEE4" w14:textId="77777777" w:rsidR="00724D9F" w:rsidRDefault="00724D9F"/>
  </w:endnote>
  <w:endnote w:type="continuationSeparator" w:id="0">
    <w:p w14:paraId="6C130122" w14:textId="77777777" w:rsidR="00724D9F" w:rsidRDefault="00724D9F">
      <w:r>
        <w:continuationSeparator/>
      </w:r>
    </w:p>
    <w:p w14:paraId="301F6B97" w14:textId="77777777" w:rsidR="00724D9F" w:rsidRDefault="00724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23C5" w14:textId="77777777" w:rsidR="00F3691B" w:rsidRDefault="00F36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55415"/>
      <w:docPartObj>
        <w:docPartGallery w:val="Page Numbers (Bottom of Page)"/>
        <w:docPartUnique/>
      </w:docPartObj>
    </w:sdtPr>
    <w:sdtEndPr>
      <w:rPr>
        <w:noProof/>
      </w:rPr>
    </w:sdtEndPr>
    <w:sdtContent>
      <w:p w14:paraId="1A74F3FE" w14:textId="71306920" w:rsidR="00F3691B" w:rsidRDefault="00F3691B">
        <w:pPr>
          <w:pStyle w:val="Footer"/>
          <w:jc w:val="right"/>
        </w:pPr>
        <w:r>
          <w:fldChar w:fldCharType="begin"/>
        </w:r>
        <w:r>
          <w:instrText xml:space="preserve"> PAGE   \* MERGEFORMAT </w:instrText>
        </w:r>
        <w:r>
          <w:fldChar w:fldCharType="separate"/>
        </w:r>
        <w:r w:rsidR="001E39D2">
          <w:rPr>
            <w:noProof/>
          </w:rPr>
          <w:t>15</w:t>
        </w:r>
        <w:r>
          <w:rPr>
            <w:noProof/>
          </w:rPr>
          <w:fldChar w:fldCharType="end"/>
        </w:r>
      </w:p>
    </w:sdtContent>
  </w:sdt>
  <w:p w14:paraId="7865F547" w14:textId="608F6AFF" w:rsidR="00F3691B" w:rsidRPr="00D77A96" w:rsidRDefault="00F3691B" w:rsidP="0054400F">
    <w:pPr>
      <w:pStyle w:val="Templat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7E30" w14:textId="35A95004" w:rsidR="00F3691B" w:rsidRPr="0054400F" w:rsidRDefault="00F3691B" w:rsidP="006A72A2">
    <w:pPr>
      <w:pStyle w:val="TemplateFooter"/>
      <w:tabs>
        <w:tab w:val="clear" w:pos="8640"/>
        <w:tab w:val="right" w:pos="11520"/>
      </w:tabs>
      <w:ind w:left="-180" w:right="4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84EC0" w14:textId="77777777" w:rsidR="00724D9F" w:rsidRDefault="00724D9F">
      <w:r>
        <w:separator/>
      </w:r>
    </w:p>
    <w:p w14:paraId="2511F31E" w14:textId="77777777" w:rsidR="00724D9F" w:rsidRDefault="00724D9F"/>
  </w:footnote>
  <w:footnote w:type="continuationSeparator" w:id="0">
    <w:p w14:paraId="2AD4350B" w14:textId="77777777" w:rsidR="00724D9F" w:rsidRDefault="00724D9F">
      <w:r>
        <w:continuationSeparator/>
      </w:r>
    </w:p>
    <w:p w14:paraId="2A03A8DC" w14:textId="77777777" w:rsidR="00724D9F" w:rsidRDefault="00724D9F"/>
  </w:footnote>
  <w:footnote w:id="1">
    <w:p w14:paraId="6E97B85D" w14:textId="46FA05F3" w:rsidR="00F3691B" w:rsidRDefault="00F3691B" w:rsidP="007718E9">
      <w:pPr>
        <w:pStyle w:val="FootnoteText"/>
      </w:pPr>
      <w:r>
        <w:rPr>
          <w:rStyle w:val="FootnoteReference"/>
        </w:rPr>
        <w:footnoteRef/>
      </w:r>
      <w:r>
        <w:t xml:space="preserve"> Given this brief overview of major issues for disabled people</w:t>
      </w:r>
      <w:r w:rsidR="004375E2">
        <w:t xml:space="preserve"> in New Zealand</w:t>
      </w:r>
      <w:r>
        <w:t xml:space="preserve">, </w:t>
      </w:r>
      <w:r w:rsidR="004375E2">
        <w:t xml:space="preserve">only </w:t>
      </w:r>
      <w:r>
        <w:t>a small number of indicators for each issue (for example, employment, in</w:t>
      </w:r>
      <w:r w:rsidR="004375E2">
        <w:t>come, social participation) can</w:t>
      </w:r>
      <w:r>
        <w:t xml:space="preserve"> be considered. </w:t>
      </w:r>
    </w:p>
  </w:footnote>
  <w:footnote w:id="2">
    <w:p w14:paraId="4D88ACCA" w14:textId="77777777" w:rsidR="00F3691B" w:rsidRDefault="00F3691B" w:rsidP="007718E9">
      <w:pPr>
        <w:pStyle w:val="FootnoteText"/>
      </w:pPr>
      <w:r>
        <w:rPr>
          <w:rStyle w:val="FootnoteReference"/>
        </w:rPr>
        <w:footnoteRef/>
      </w:r>
      <w:r>
        <w:t xml:space="preserve"> See </w:t>
      </w:r>
      <w:hyperlink r:id="rId1" w:history="1">
        <w:r w:rsidRPr="00DB66C1">
          <w:rPr>
            <w:rStyle w:val="Hyperlink"/>
          </w:rPr>
          <w:t>http://www.stats.govt.nz/browse_for_stats/health/disabilities.aspx</w:t>
        </w:r>
      </w:hyperlink>
      <w:r>
        <w:t xml:space="preserve">. </w:t>
      </w:r>
    </w:p>
  </w:footnote>
  <w:footnote w:id="3">
    <w:p w14:paraId="0F599588" w14:textId="77777777" w:rsidR="00F3691B" w:rsidRDefault="00F3691B" w:rsidP="007718E9">
      <w:pPr>
        <w:pStyle w:val="FootnoteText"/>
      </w:pPr>
      <w:r>
        <w:rPr>
          <w:rStyle w:val="FootnoteReference"/>
        </w:rPr>
        <w:footnoteRef/>
      </w:r>
      <w:r>
        <w:t xml:space="preserve"> A few other sources will also be referenced.</w:t>
      </w:r>
    </w:p>
  </w:footnote>
  <w:footnote w:id="4">
    <w:p w14:paraId="4B0859D9" w14:textId="5224BEFF" w:rsidR="00F3691B" w:rsidRDefault="00F3691B">
      <w:pPr>
        <w:pStyle w:val="FootnoteText"/>
      </w:pPr>
      <w:r>
        <w:rPr>
          <w:rStyle w:val="FootnoteReference"/>
        </w:rPr>
        <w:footnoteRef/>
      </w:r>
      <w:r>
        <w:t xml:space="preserve"> The following statements are statistically valid, that is, based on quantitative estimates from the 2013 Disability Survey</w:t>
      </w:r>
    </w:p>
  </w:footnote>
  <w:footnote w:id="5">
    <w:p w14:paraId="048C80D7" w14:textId="2DE884EC" w:rsidR="00F3691B" w:rsidRDefault="00F3691B">
      <w:pPr>
        <w:pStyle w:val="FootnoteText"/>
      </w:pPr>
      <w:r>
        <w:rPr>
          <w:rStyle w:val="FootnoteReference"/>
        </w:rPr>
        <w:footnoteRef/>
      </w:r>
      <w:r>
        <w:t xml:space="preserve"> The following statements are drawn from qualitative data in the Convention Coalition reports and, hence, are not statistically valid.</w:t>
      </w:r>
    </w:p>
  </w:footnote>
  <w:footnote w:id="6">
    <w:p w14:paraId="0F58181C" w14:textId="3F47A3A0" w:rsidR="00F3691B" w:rsidRDefault="00F3691B" w:rsidP="00155DCC">
      <w:pPr>
        <w:pStyle w:val="CommentText"/>
      </w:pPr>
      <w:r>
        <w:rPr>
          <w:rStyle w:val="FootnoteReference"/>
        </w:rPr>
        <w:footnoteRef/>
      </w:r>
      <w:r>
        <w:t xml:space="preserve"> </w:t>
      </w:r>
      <w:r w:rsidRPr="00155DCC">
        <w:rPr>
          <w:sz w:val="18"/>
          <w:szCs w:val="18"/>
        </w:rPr>
        <w:t xml:space="preserve">See </w:t>
      </w:r>
      <w:hyperlink r:id="rId2" w:history="1">
        <w:r w:rsidRPr="00155DCC">
          <w:rPr>
            <w:rStyle w:val="Hyperlink"/>
            <w:sz w:val="18"/>
            <w:szCs w:val="18"/>
          </w:rPr>
          <w:t>http://www.stats.govt.nz/browse_for_stats/health/disabilities/social-economic-outcomes-13.aspx</w:t>
        </w:r>
      </w:hyperlink>
      <w:r w:rsidRPr="00155DCC">
        <w:rPr>
          <w:rStyle w:val="Hyperlink"/>
          <w:sz w:val="18"/>
          <w:szCs w:val="18"/>
        </w:rPr>
        <w:t>.</w:t>
      </w:r>
      <w:r w:rsidRPr="00155DCC">
        <w:rPr>
          <w:sz w:val="18"/>
          <w:szCs w:val="18"/>
        </w:rPr>
        <w:t xml:space="preserve"> </w:t>
      </w:r>
    </w:p>
  </w:footnote>
  <w:footnote w:id="7">
    <w:p w14:paraId="7ACA3534" w14:textId="77777777" w:rsidR="00F3691B" w:rsidRDefault="00F3691B" w:rsidP="007718E9">
      <w:pPr>
        <w:pStyle w:val="FootnoteText"/>
      </w:pPr>
      <w:r>
        <w:rPr>
          <w:rStyle w:val="FootnoteReference"/>
        </w:rPr>
        <w:footnoteRef/>
      </w:r>
      <w:r>
        <w:t xml:space="preserve"> See Appendix for definitions of the terms used by Statistics New Zealand.</w:t>
      </w:r>
    </w:p>
  </w:footnote>
  <w:footnote w:id="8">
    <w:p w14:paraId="3A6811F0" w14:textId="77777777" w:rsidR="00F3691B" w:rsidRDefault="00F3691B" w:rsidP="007718E9">
      <w:pPr>
        <w:pStyle w:val="FootnoteText"/>
      </w:pPr>
      <w:r>
        <w:rPr>
          <w:rStyle w:val="FootnoteReference"/>
        </w:rPr>
        <w:footnoteRef/>
      </w:r>
      <w:r>
        <w:t xml:space="preserve"> See the references for the list of Convention Coalition reports and the abbreviations used.</w:t>
      </w:r>
    </w:p>
  </w:footnote>
  <w:footnote w:id="9">
    <w:p w14:paraId="6C69A740" w14:textId="264E7BD1" w:rsidR="000A787C" w:rsidRDefault="000A787C">
      <w:pPr>
        <w:pStyle w:val="FootnoteText"/>
      </w:pPr>
      <w:r>
        <w:rPr>
          <w:rStyle w:val="FootnoteReference"/>
        </w:rPr>
        <w:footnoteRef/>
      </w:r>
      <w:r>
        <w:t xml:space="preserve"> See </w:t>
      </w:r>
      <w:hyperlink r:id="rId3" w:history="1">
        <w:r w:rsidRPr="0029104D">
          <w:rPr>
            <w:rStyle w:val="Hyperlink"/>
          </w:rPr>
          <w:t>http://www.stats.govt.nz/browse_for_stats/health/disabilities/disability-and-labour-market.aspx</w:t>
        </w:r>
      </w:hyperlink>
      <w:r>
        <w:t>.</w:t>
      </w:r>
    </w:p>
  </w:footnote>
  <w:footnote w:id="10">
    <w:p w14:paraId="4584FC61" w14:textId="77777777" w:rsidR="00F3691B" w:rsidRDefault="00F3691B">
      <w:pPr>
        <w:pStyle w:val="FootnoteText"/>
      </w:pPr>
      <w:r>
        <w:rPr>
          <w:rStyle w:val="FootnoteReference"/>
        </w:rPr>
        <w:footnoteRef/>
      </w:r>
      <w:r>
        <w:t xml:space="preserve"> All the figures quoted in this information assignment are rounded.</w:t>
      </w:r>
    </w:p>
  </w:footnote>
  <w:footnote w:id="11">
    <w:p w14:paraId="269E25D2" w14:textId="0B6D3C9A" w:rsidR="00F3691B" w:rsidRDefault="00F3691B">
      <w:pPr>
        <w:pStyle w:val="FootnoteText"/>
      </w:pPr>
      <w:r>
        <w:rPr>
          <w:rStyle w:val="FootnoteReference"/>
        </w:rPr>
        <w:footnoteRef/>
      </w:r>
      <w:r>
        <w:t xml:space="preserve"> </w:t>
      </w:r>
      <w:hyperlink r:id="rId4" w:history="1">
        <w:r w:rsidRPr="0029104D">
          <w:rPr>
            <w:rStyle w:val="Hyperlink"/>
          </w:rPr>
          <w:t>http://www.stats.govt.nz/browse_for_stats/health/disabilities/He-haua-maori-findings-from-2013-disability-survey.aspx</w:t>
        </w:r>
      </w:hyperlink>
      <w:r>
        <w:t xml:space="preserve">. </w:t>
      </w:r>
    </w:p>
  </w:footnote>
  <w:footnote w:id="12">
    <w:p w14:paraId="53585432" w14:textId="6E7ABC2A" w:rsidR="00F3691B" w:rsidRDefault="00F3691B">
      <w:pPr>
        <w:pStyle w:val="FootnoteText"/>
      </w:pPr>
      <w:r>
        <w:rPr>
          <w:rStyle w:val="FootnoteReference"/>
        </w:rPr>
        <w:footnoteRef/>
      </w:r>
      <w:r>
        <w:t xml:space="preserve"> Areas in the lowest 20 percent on the New Zealand Deprivation Index 2013</w:t>
      </w:r>
      <w:r w:rsidR="000A787C">
        <w:t xml:space="preserve"> (NZDep2013)</w:t>
      </w:r>
      <w:r>
        <w:t xml:space="preserve">. See </w:t>
      </w:r>
      <w:hyperlink r:id="rId5" w:history="1">
        <w:r w:rsidRPr="0029104D">
          <w:rPr>
            <w:rStyle w:val="Hyperlink"/>
          </w:rPr>
          <w:t>http://www.otago.ac.nz/wellington/otago069936.pdf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A07E" w14:textId="77777777" w:rsidR="00F3691B" w:rsidRDefault="00F36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C0B4" w14:textId="77777777" w:rsidR="00F3691B" w:rsidRPr="00BE3400" w:rsidRDefault="00F3691B" w:rsidP="00BE3400">
    <w:pPr>
      <w:pStyle w:val="Header"/>
      <w:rPr>
        <w:lang w:val="en-N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9C7F9" w14:textId="50FB0C72" w:rsidR="00F3691B" w:rsidRPr="00BE3400" w:rsidRDefault="00F3691B">
    <w:pPr>
      <w:pStyle w:val="Header"/>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D946F78A"/>
    <w:lvl w:ilvl="0">
      <w:start w:val="1"/>
      <w:numFmt w:val="bullet"/>
      <w:lvlText w:val="–"/>
      <w:lvlJc w:val="left"/>
      <w:pPr>
        <w:tabs>
          <w:tab w:val="num" w:pos="1366"/>
        </w:tabs>
        <w:ind w:left="1366" w:hanging="362"/>
      </w:pPr>
      <w:rPr>
        <w:rFonts w:ascii="Arial" w:hAnsi="Arial" w:hint="default"/>
      </w:rPr>
    </w:lvl>
  </w:abstractNum>
  <w:abstractNum w:abstractNumId="7">
    <w:nsid w:val="FFFFFF89"/>
    <w:multiLevelType w:val="singleLevel"/>
    <w:tmpl w:val="3086E34A"/>
    <w:lvl w:ilvl="0">
      <w:start w:val="1"/>
      <w:numFmt w:val="bullet"/>
      <w:pStyle w:val="ListBullet"/>
      <w:lvlText w:val=""/>
      <w:lvlJc w:val="left"/>
      <w:pPr>
        <w:tabs>
          <w:tab w:val="num" w:pos="1060"/>
        </w:tabs>
        <w:ind w:left="1060" w:hanging="567"/>
      </w:pPr>
      <w:rPr>
        <w:rFonts w:ascii="Symbol" w:hAnsi="Symbol" w:hint="default"/>
      </w:rPr>
    </w:lvl>
  </w:abstractNum>
  <w:abstractNum w:abstractNumId="8">
    <w:nsid w:val="00C2453E"/>
    <w:multiLevelType w:val="multilevel"/>
    <w:tmpl w:val="7046B7EE"/>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nsid w:val="118D00F0"/>
    <w:multiLevelType w:val="hybridMultilevel"/>
    <w:tmpl w:val="D2C2E0F4"/>
    <w:lvl w:ilvl="0" w:tplc="2EF86A5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91393A"/>
    <w:multiLevelType w:val="hybridMultilevel"/>
    <w:tmpl w:val="A8E28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1ED3916"/>
    <w:multiLevelType w:val="hybridMultilevel"/>
    <w:tmpl w:val="952C1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C66970"/>
    <w:multiLevelType w:val="hybridMultilevel"/>
    <w:tmpl w:val="6F6C159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3">
    <w:nsid w:val="29FA0B22"/>
    <w:multiLevelType w:val="hybridMultilevel"/>
    <w:tmpl w:val="86700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A0D7B3C"/>
    <w:multiLevelType w:val="hybridMultilevel"/>
    <w:tmpl w:val="00A87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AA40D62"/>
    <w:multiLevelType w:val="hybridMultilevel"/>
    <w:tmpl w:val="CD14196A"/>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6">
    <w:nsid w:val="3174597C"/>
    <w:multiLevelType w:val="multilevel"/>
    <w:tmpl w:val="A0A2EE1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0B822F1"/>
    <w:multiLevelType w:val="hybridMultilevel"/>
    <w:tmpl w:val="57861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FB5708"/>
    <w:multiLevelType w:val="multilevel"/>
    <w:tmpl w:val="7F428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820CA1"/>
    <w:multiLevelType w:val="hybridMultilevel"/>
    <w:tmpl w:val="5A3E5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46480C"/>
    <w:multiLevelType w:val="multilevel"/>
    <w:tmpl w:val="435EE914"/>
    <w:lvl w:ilvl="0">
      <w:start w:val="1"/>
      <w:numFmt w:val="decimal"/>
      <w:pStyle w:val="RecLevel1"/>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612702"/>
    <w:multiLevelType w:val="multilevel"/>
    <w:tmpl w:val="7CAC5F58"/>
    <w:lvl w:ilvl="0">
      <w:start w:val="1"/>
      <w:numFmt w:val="decimal"/>
      <w:lvlText w:val="%1"/>
      <w:lvlJc w:val="left"/>
      <w:pPr>
        <w:tabs>
          <w:tab w:val="num" w:pos="397"/>
        </w:tabs>
        <w:ind w:left="397" w:hanging="397"/>
      </w:pPr>
      <w:rPr>
        <w:rFonts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3">
    <w:nsid w:val="5ADA139A"/>
    <w:multiLevelType w:val="hybridMultilevel"/>
    <w:tmpl w:val="28A6F140"/>
    <w:lvl w:ilvl="0" w:tplc="B2E4600E">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000121"/>
    <w:multiLevelType w:val="hybridMultilevel"/>
    <w:tmpl w:val="1B2A6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15D6D15"/>
    <w:multiLevelType w:val="hybridMultilevel"/>
    <w:tmpl w:val="0FAE0C88"/>
    <w:lvl w:ilvl="0" w:tplc="14090001">
      <w:start w:val="1"/>
      <w:numFmt w:val="bullet"/>
      <w:lvlText w:val=""/>
      <w:lvlJc w:val="left"/>
      <w:pPr>
        <w:ind w:left="795" w:hanging="360"/>
      </w:pPr>
      <w:rPr>
        <w:rFonts w:ascii="Symbol" w:hAnsi="Symbol" w:hint="default"/>
      </w:rPr>
    </w:lvl>
    <w:lvl w:ilvl="1" w:tplc="14090003">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6">
    <w:nsid w:val="68DC1869"/>
    <w:multiLevelType w:val="hybridMultilevel"/>
    <w:tmpl w:val="6486F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103F40"/>
    <w:multiLevelType w:val="hybridMultilevel"/>
    <w:tmpl w:val="8A8C9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90B648E"/>
    <w:multiLevelType w:val="hybridMultilevel"/>
    <w:tmpl w:val="F3F6A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27"/>
  </w:num>
  <w:num w:numId="3">
    <w:abstractNumId w:val="3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9"/>
  </w:num>
  <w:num w:numId="14">
    <w:abstractNumId w:val="8"/>
  </w:num>
  <w:num w:numId="15">
    <w:abstractNumId w:val="8"/>
  </w:num>
  <w:num w:numId="16">
    <w:abstractNumId w:val="22"/>
  </w:num>
  <w:num w:numId="17">
    <w:abstractNumId w:val="6"/>
  </w:num>
  <w:num w:numId="18">
    <w:abstractNumId w:val="23"/>
  </w:num>
  <w:num w:numId="19">
    <w:abstractNumId w:val="9"/>
  </w:num>
  <w:num w:numId="20">
    <w:abstractNumId w:val="16"/>
    <w:lvlOverride w:ilvl="0">
      <w:lvl w:ilvl="0">
        <w:start w:val="1"/>
        <w:numFmt w:val="decimal"/>
        <w:pStyle w:val="ReportBody"/>
        <w:lvlText w:val="%1"/>
        <w:lvlJc w:val="left"/>
        <w:pPr>
          <w:tabs>
            <w:tab w:val="num" w:pos="493"/>
          </w:tabs>
          <w:ind w:left="493" w:hanging="493"/>
        </w:pPr>
        <w:rPr>
          <w:rFonts w:hint="default"/>
        </w:rPr>
      </w:lvl>
    </w:lvlOverride>
  </w:num>
  <w:num w:numId="21">
    <w:abstractNumId w:val="8"/>
  </w:num>
  <w:num w:numId="22">
    <w:abstractNumId w:val="16"/>
    <w:lvlOverride w:ilvl="0">
      <w:lvl w:ilvl="0">
        <w:start w:val="1"/>
        <w:numFmt w:val="decimal"/>
        <w:pStyle w:val="ReportBody"/>
        <w:lvlText w:val="%1"/>
        <w:lvlJc w:val="left"/>
        <w:pPr>
          <w:tabs>
            <w:tab w:val="num" w:pos="1344"/>
          </w:tabs>
          <w:ind w:left="1344" w:hanging="493"/>
        </w:pPr>
        <w:rPr>
          <w:rFonts w:hint="default"/>
        </w:rPr>
      </w:lvl>
    </w:lvlOverride>
  </w:num>
  <w:num w:numId="23">
    <w:abstractNumId w:val="6"/>
  </w:num>
  <w:num w:numId="24">
    <w:abstractNumId w:val="21"/>
  </w:num>
  <w:num w:numId="25">
    <w:abstractNumId w:val="19"/>
  </w:num>
  <w:num w:numId="26">
    <w:abstractNumId w:val="12"/>
  </w:num>
  <w:num w:numId="27">
    <w:abstractNumId w:val="11"/>
  </w:num>
  <w:num w:numId="28">
    <w:abstractNumId w:val="10"/>
  </w:num>
  <w:num w:numId="29">
    <w:abstractNumId w:val="26"/>
  </w:num>
  <w:num w:numId="30">
    <w:abstractNumId w:val="25"/>
  </w:num>
  <w:num w:numId="31">
    <w:abstractNumId w:val="18"/>
  </w:num>
  <w:num w:numId="32">
    <w:abstractNumId w:val="29"/>
  </w:num>
  <w:num w:numId="33">
    <w:abstractNumId w:val="14"/>
  </w:num>
  <w:num w:numId="34">
    <w:abstractNumId w:val="20"/>
  </w:num>
  <w:num w:numId="35">
    <w:abstractNumId w:val="28"/>
  </w:num>
  <w:num w:numId="36">
    <w:abstractNumId w:val="16"/>
    <w:lvlOverride w:ilvl="0">
      <w:lvl w:ilvl="0">
        <w:start w:val="1"/>
        <w:numFmt w:val="decimal"/>
        <w:pStyle w:val="ReportBody"/>
        <w:lvlText w:val="%1"/>
        <w:lvlJc w:val="left"/>
        <w:pPr>
          <w:tabs>
            <w:tab w:val="num" w:pos="1344"/>
          </w:tabs>
          <w:ind w:left="1344" w:hanging="493"/>
        </w:pPr>
        <w:rPr>
          <w:rFonts w:hint="default"/>
        </w:rPr>
      </w:lvl>
    </w:lvlOverride>
  </w:num>
  <w:num w:numId="37">
    <w:abstractNumId w:val="16"/>
    <w:lvlOverride w:ilvl="0">
      <w:lvl w:ilvl="0">
        <w:start w:val="1"/>
        <w:numFmt w:val="decimal"/>
        <w:pStyle w:val="ReportBody"/>
        <w:lvlText w:val="%1"/>
        <w:lvlJc w:val="left"/>
        <w:pPr>
          <w:tabs>
            <w:tab w:val="num" w:pos="1344"/>
          </w:tabs>
          <w:ind w:left="1344" w:hanging="493"/>
        </w:pPr>
        <w:rPr>
          <w:rFonts w:hint="default"/>
        </w:rPr>
      </w:lvl>
    </w:lvlOverride>
  </w:num>
  <w:num w:numId="38">
    <w:abstractNumId w:val="16"/>
    <w:lvlOverride w:ilvl="0">
      <w:lvl w:ilvl="0">
        <w:start w:val="1"/>
        <w:numFmt w:val="decimal"/>
        <w:pStyle w:val="ReportBody"/>
        <w:lvlText w:val="%1"/>
        <w:lvlJc w:val="left"/>
        <w:pPr>
          <w:tabs>
            <w:tab w:val="num" w:pos="1344"/>
          </w:tabs>
          <w:ind w:left="1344" w:hanging="493"/>
        </w:pPr>
        <w:rPr>
          <w:rFonts w:hint="default"/>
        </w:rPr>
      </w:lvl>
    </w:lvlOverride>
  </w:num>
  <w:num w:numId="39">
    <w:abstractNumId w:val="16"/>
    <w:lvlOverride w:ilvl="0">
      <w:lvl w:ilvl="0">
        <w:start w:val="1"/>
        <w:numFmt w:val="decimal"/>
        <w:pStyle w:val="ReportBody"/>
        <w:lvlText w:val="%1"/>
        <w:lvlJc w:val="left"/>
        <w:pPr>
          <w:tabs>
            <w:tab w:val="num" w:pos="1344"/>
          </w:tabs>
          <w:ind w:left="1344" w:hanging="493"/>
        </w:pPr>
        <w:rPr>
          <w:rFonts w:hint="default"/>
        </w:rPr>
      </w:lvl>
    </w:lvlOverride>
  </w:num>
  <w:num w:numId="40">
    <w:abstractNumId w:val="24"/>
  </w:num>
  <w:num w:numId="41">
    <w:abstractNumId w:val="15"/>
  </w:num>
  <w:num w:numId="42">
    <w:abstractNumId w:val="1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a O'Brien">
    <w15:presenceInfo w15:providerId="AD" w15:userId="S-1-5-21-1894074160-471209317-1544898942-5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56"/>
    <w:rsid w:val="000000A4"/>
    <w:rsid w:val="00000FDD"/>
    <w:rsid w:val="0000231C"/>
    <w:rsid w:val="00004518"/>
    <w:rsid w:val="00016E26"/>
    <w:rsid w:val="00020C78"/>
    <w:rsid w:val="00022D2F"/>
    <w:rsid w:val="00026071"/>
    <w:rsid w:val="000261E9"/>
    <w:rsid w:val="00031A27"/>
    <w:rsid w:val="00034268"/>
    <w:rsid w:val="00034CC5"/>
    <w:rsid w:val="00035DDE"/>
    <w:rsid w:val="00041313"/>
    <w:rsid w:val="00041A1C"/>
    <w:rsid w:val="00053967"/>
    <w:rsid w:val="00061A25"/>
    <w:rsid w:val="00064C2E"/>
    <w:rsid w:val="0006779B"/>
    <w:rsid w:val="00067E41"/>
    <w:rsid w:val="000717B2"/>
    <w:rsid w:val="00071868"/>
    <w:rsid w:val="00072F59"/>
    <w:rsid w:val="00073816"/>
    <w:rsid w:val="00074630"/>
    <w:rsid w:val="000748BF"/>
    <w:rsid w:val="00082225"/>
    <w:rsid w:val="00086261"/>
    <w:rsid w:val="00090FD3"/>
    <w:rsid w:val="00092299"/>
    <w:rsid w:val="000924ED"/>
    <w:rsid w:val="000959D4"/>
    <w:rsid w:val="00095D60"/>
    <w:rsid w:val="00095F47"/>
    <w:rsid w:val="000A02A7"/>
    <w:rsid w:val="000A335B"/>
    <w:rsid w:val="000A3C4F"/>
    <w:rsid w:val="000A4894"/>
    <w:rsid w:val="000A787C"/>
    <w:rsid w:val="000B1798"/>
    <w:rsid w:val="000B2912"/>
    <w:rsid w:val="000B2B06"/>
    <w:rsid w:val="000B37A4"/>
    <w:rsid w:val="000B3E11"/>
    <w:rsid w:val="000B64DF"/>
    <w:rsid w:val="000B6F59"/>
    <w:rsid w:val="000C17F9"/>
    <w:rsid w:val="000C20B6"/>
    <w:rsid w:val="000C233E"/>
    <w:rsid w:val="000C621D"/>
    <w:rsid w:val="000D1DD9"/>
    <w:rsid w:val="000D4D4F"/>
    <w:rsid w:val="000E029B"/>
    <w:rsid w:val="000E18DE"/>
    <w:rsid w:val="000E661D"/>
    <w:rsid w:val="000F3E1C"/>
    <w:rsid w:val="000F51DD"/>
    <w:rsid w:val="000F7498"/>
    <w:rsid w:val="000F7591"/>
    <w:rsid w:val="000F7FAC"/>
    <w:rsid w:val="001011FF"/>
    <w:rsid w:val="0010218F"/>
    <w:rsid w:val="00103C2C"/>
    <w:rsid w:val="00112AED"/>
    <w:rsid w:val="00116B4D"/>
    <w:rsid w:val="0012418A"/>
    <w:rsid w:val="00126067"/>
    <w:rsid w:val="00126E24"/>
    <w:rsid w:val="00133AC6"/>
    <w:rsid w:val="00134621"/>
    <w:rsid w:val="00137C12"/>
    <w:rsid w:val="0014125F"/>
    <w:rsid w:val="001427D2"/>
    <w:rsid w:val="00142A82"/>
    <w:rsid w:val="00146A21"/>
    <w:rsid w:val="001477FE"/>
    <w:rsid w:val="00154226"/>
    <w:rsid w:val="00155AA5"/>
    <w:rsid w:val="00155DCC"/>
    <w:rsid w:val="00160E59"/>
    <w:rsid w:val="00161214"/>
    <w:rsid w:val="00161420"/>
    <w:rsid w:val="00161BFA"/>
    <w:rsid w:val="001646D9"/>
    <w:rsid w:val="0016556E"/>
    <w:rsid w:val="00165DB8"/>
    <w:rsid w:val="00166D0F"/>
    <w:rsid w:val="00170A49"/>
    <w:rsid w:val="00171DBC"/>
    <w:rsid w:val="00176E12"/>
    <w:rsid w:val="00180C51"/>
    <w:rsid w:val="001811C4"/>
    <w:rsid w:val="00191F02"/>
    <w:rsid w:val="001930D8"/>
    <w:rsid w:val="0019341C"/>
    <w:rsid w:val="00193ACE"/>
    <w:rsid w:val="00196C76"/>
    <w:rsid w:val="001B6DE3"/>
    <w:rsid w:val="001B7667"/>
    <w:rsid w:val="001C1B0D"/>
    <w:rsid w:val="001C3A88"/>
    <w:rsid w:val="001C73BB"/>
    <w:rsid w:val="001C7B0E"/>
    <w:rsid w:val="001D36F0"/>
    <w:rsid w:val="001E39D2"/>
    <w:rsid w:val="001E400C"/>
    <w:rsid w:val="001E41F5"/>
    <w:rsid w:val="001E59B0"/>
    <w:rsid w:val="001E5DB0"/>
    <w:rsid w:val="001F1E8C"/>
    <w:rsid w:val="001F39E0"/>
    <w:rsid w:val="001F5840"/>
    <w:rsid w:val="00201B7D"/>
    <w:rsid w:val="002047A2"/>
    <w:rsid w:val="002058A9"/>
    <w:rsid w:val="00213557"/>
    <w:rsid w:val="00213F96"/>
    <w:rsid w:val="00222791"/>
    <w:rsid w:val="00225249"/>
    <w:rsid w:val="00225F8B"/>
    <w:rsid w:val="0023166C"/>
    <w:rsid w:val="00235609"/>
    <w:rsid w:val="002413C4"/>
    <w:rsid w:val="00243571"/>
    <w:rsid w:val="002468E1"/>
    <w:rsid w:val="002506CC"/>
    <w:rsid w:val="00253B3D"/>
    <w:rsid w:val="00257ADD"/>
    <w:rsid w:val="00257C30"/>
    <w:rsid w:val="002613FE"/>
    <w:rsid w:val="0026368D"/>
    <w:rsid w:val="00265542"/>
    <w:rsid w:val="00266833"/>
    <w:rsid w:val="00266F34"/>
    <w:rsid w:val="0027288C"/>
    <w:rsid w:val="002745C6"/>
    <w:rsid w:val="00277237"/>
    <w:rsid w:val="00277B16"/>
    <w:rsid w:val="002839E1"/>
    <w:rsid w:val="002934FF"/>
    <w:rsid w:val="00295B76"/>
    <w:rsid w:val="002A2548"/>
    <w:rsid w:val="002A2CC6"/>
    <w:rsid w:val="002A6471"/>
    <w:rsid w:val="002B56C8"/>
    <w:rsid w:val="002C31EA"/>
    <w:rsid w:val="002C5D4B"/>
    <w:rsid w:val="002C5D61"/>
    <w:rsid w:val="002C6502"/>
    <w:rsid w:val="002D393E"/>
    <w:rsid w:val="002D3B51"/>
    <w:rsid w:val="002D4990"/>
    <w:rsid w:val="002D6C4D"/>
    <w:rsid w:val="002E1242"/>
    <w:rsid w:val="002E4691"/>
    <w:rsid w:val="002E6984"/>
    <w:rsid w:val="002F30F1"/>
    <w:rsid w:val="003047EE"/>
    <w:rsid w:val="003051FF"/>
    <w:rsid w:val="00306038"/>
    <w:rsid w:val="003073E7"/>
    <w:rsid w:val="0031255D"/>
    <w:rsid w:val="0031314C"/>
    <w:rsid w:val="003210BF"/>
    <w:rsid w:val="00321653"/>
    <w:rsid w:val="00322D75"/>
    <w:rsid w:val="003272F2"/>
    <w:rsid w:val="00334321"/>
    <w:rsid w:val="00335269"/>
    <w:rsid w:val="003358DA"/>
    <w:rsid w:val="00335EB6"/>
    <w:rsid w:val="003364A7"/>
    <w:rsid w:val="003368CF"/>
    <w:rsid w:val="00342CA5"/>
    <w:rsid w:val="003434F0"/>
    <w:rsid w:val="0034473C"/>
    <w:rsid w:val="00350DF9"/>
    <w:rsid w:val="00354DEB"/>
    <w:rsid w:val="0035517F"/>
    <w:rsid w:val="0035620F"/>
    <w:rsid w:val="00356C2F"/>
    <w:rsid w:val="00357C2D"/>
    <w:rsid w:val="00367199"/>
    <w:rsid w:val="003709CE"/>
    <w:rsid w:val="0037187B"/>
    <w:rsid w:val="00372E6B"/>
    <w:rsid w:val="003741B3"/>
    <w:rsid w:val="00375321"/>
    <w:rsid w:val="00375912"/>
    <w:rsid w:val="00375D02"/>
    <w:rsid w:val="00381028"/>
    <w:rsid w:val="003814A4"/>
    <w:rsid w:val="00382073"/>
    <w:rsid w:val="00382802"/>
    <w:rsid w:val="00382D0B"/>
    <w:rsid w:val="00383B97"/>
    <w:rsid w:val="00385DD1"/>
    <w:rsid w:val="003910B4"/>
    <w:rsid w:val="003914B9"/>
    <w:rsid w:val="00392CF2"/>
    <w:rsid w:val="0039559C"/>
    <w:rsid w:val="00396E8B"/>
    <w:rsid w:val="003A08DA"/>
    <w:rsid w:val="003B78C6"/>
    <w:rsid w:val="003C1573"/>
    <w:rsid w:val="003C2C8D"/>
    <w:rsid w:val="003C3275"/>
    <w:rsid w:val="003C3352"/>
    <w:rsid w:val="003C49B8"/>
    <w:rsid w:val="003C61FB"/>
    <w:rsid w:val="003C7161"/>
    <w:rsid w:val="003D1AA7"/>
    <w:rsid w:val="003D4415"/>
    <w:rsid w:val="003D5C32"/>
    <w:rsid w:val="003E0523"/>
    <w:rsid w:val="003E7443"/>
    <w:rsid w:val="003F202D"/>
    <w:rsid w:val="003F2304"/>
    <w:rsid w:val="003F5AD8"/>
    <w:rsid w:val="003F7782"/>
    <w:rsid w:val="004002BF"/>
    <w:rsid w:val="00401CCE"/>
    <w:rsid w:val="00403D67"/>
    <w:rsid w:val="00404F36"/>
    <w:rsid w:val="00405B05"/>
    <w:rsid w:val="004113EA"/>
    <w:rsid w:val="004124A4"/>
    <w:rsid w:val="0041417F"/>
    <w:rsid w:val="004177D3"/>
    <w:rsid w:val="00422FB7"/>
    <w:rsid w:val="00424CA0"/>
    <w:rsid w:val="00424FD4"/>
    <w:rsid w:val="00427B51"/>
    <w:rsid w:val="00432120"/>
    <w:rsid w:val="004326D9"/>
    <w:rsid w:val="00432B48"/>
    <w:rsid w:val="00436B69"/>
    <w:rsid w:val="004375E2"/>
    <w:rsid w:val="00440C26"/>
    <w:rsid w:val="00443134"/>
    <w:rsid w:val="00443C80"/>
    <w:rsid w:val="00444B64"/>
    <w:rsid w:val="00444D05"/>
    <w:rsid w:val="00446349"/>
    <w:rsid w:val="00447006"/>
    <w:rsid w:val="004473D8"/>
    <w:rsid w:val="0044786F"/>
    <w:rsid w:val="00451106"/>
    <w:rsid w:val="004521E1"/>
    <w:rsid w:val="004549D2"/>
    <w:rsid w:val="004561BD"/>
    <w:rsid w:val="00456DE5"/>
    <w:rsid w:val="0046147B"/>
    <w:rsid w:val="00461926"/>
    <w:rsid w:val="004649FD"/>
    <w:rsid w:val="00464F79"/>
    <w:rsid w:val="00465510"/>
    <w:rsid w:val="0047025B"/>
    <w:rsid w:val="00473962"/>
    <w:rsid w:val="00475E45"/>
    <w:rsid w:val="00480875"/>
    <w:rsid w:val="00481080"/>
    <w:rsid w:val="00484B9B"/>
    <w:rsid w:val="00485EBB"/>
    <w:rsid w:val="0049094C"/>
    <w:rsid w:val="00490CD2"/>
    <w:rsid w:val="00492202"/>
    <w:rsid w:val="004A167F"/>
    <w:rsid w:val="004A1BBE"/>
    <w:rsid w:val="004A3177"/>
    <w:rsid w:val="004A3EB3"/>
    <w:rsid w:val="004B5996"/>
    <w:rsid w:val="004B7180"/>
    <w:rsid w:val="004C1784"/>
    <w:rsid w:val="004C5D40"/>
    <w:rsid w:val="004D25A0"/>
    <w:rsid w:val="004D7A83"/>
    <w:rsid w:val="004E0062"/>
    <w:rsid w:val="004E2322"/>
    <w:rsid w:val="004E237D"/>
    <w:rsid w:val="004E34F7"/>
    <w:rsid w:val="004F6225"/>
    <w:rsid w:val="00500CC8"/>
    <w:rsid w:val="00501BA1"/>
    <w:rsid w:val="005033DD"/>
    <w:rsid w:val="00507E9E"/>
    <w:rsid w:val="0051084C"/>
    <w:rsid w:val="005114BD"/>
    <w:rsid w:val="005122E9"/>
    <w:rsid w:val="00513A17"/>
    <w:rsid w:val="00513C51"/>
    <w:rsid w:val="00513F21"/>
    <w:rsid w:val="005167AA"/>
    <w:rsid w:val="00517967"/>
    <w:rsid w:val="00525C5E"/>
    <w:rsid w:val="005261C5"/>
    <w:rsid w:val="00526A67"/>
    <w:rsid w:val="005305E8"/>
    <w:rsid w:val="005358DB"/>
    <w:rsid w:val="005407E6"/>
    <w:rsid w:val="0054155A"/>
    <w:rsid w:val="00542500"/>
    <w:rsid w:val="0054400F"/>
    <w:rsid w:val="005441A9"/>
    <w:rsid w:val="00544372"/>
    <w:rsid w:val="00552500"/>
    <w:rsid w:val="00552734"/>
    <w:rsid w:val="0055438A"/>
    <w:rsid w:val="00555589"/>
    <w:rsid w:val="00557D02"/>
    <w:rsid w:val="005613C3"/>
    <w:rsid w:val="00573AF8"/>
    <w:rsid w:val="005801BA"/>
    <w:rsid w:val="00581B19"/>
    <w:rsid w:val="005828C2"/>
    <w:rsid w:val="00583467"/>
    <w:rsid w:val="00586215"/>
    <w:rsid w:val="005873B0"/>
    <w:rsid w:val="005905E7"/>
    <w:rsid w:val="00596758"/>
    <w:rsid w:val="005A0024"/>
    <w:rsid w:val="005A07C7"/>
    <w:rsid w:val="005B1B40"/>
    <w:rsid w:val="005B31F0"/>
    <w:rsid w:val="005B4665"/>
    <w:rsid w:val="005B6EB5"/>
    <w:rsid w:val="005C6D52"/>
    <w:rsid w:val="005C6EA9"/>
    <w:rsid w:val="005D1E03"/>
    <w:rsid w:val="005D2868"/>
    <w:rsid w:val="005D675E"/>
    <w:rsid w:val="005E58A9"/>
    <w:rsid w:val="005E58CD"/>
    <w:rsid w:val="005E6671"/>
    <w:rsid w:val="005F27A3"/>
    <w:rsid w:val="005F412B"/>
    <w:rsid w:val="005F640E"/>
    <w:rsid w:val="005F7E1F"/>
    <w:rsid w:val="006019F2"/>
    <w:rsid w:val="00603C6B"/>
    <w:rsid w:val="00604124"/>
    <w:rsid w:val="006045B3"/>
    <w:rsid w:val="00607E68"/>
    <w:rsid w:val="006114B6"/>
    <w:rsid w:val="006125E6"/>
    <w:rsid w:val="00612E8A"/>
    <w:rsid w:val="006246DE"/>
    <w:rsid w:val="00627DC8"/>
    <w:rsid w:val="00630356"/>
    <w:rsid w:val="00632D76"/>
    <w:rsid w:val="006364D1"/>
    <w:rsid w:val="00636D96"/>
    <w:rsid w:val="00641C07"/>
    <w:rsid w:val="0064598B"/>
    <w:rsid w:val="006469E7"/>
    <w:rsid w:val="00650F7D"/>
    <w:rsid w:val="0065324F"/>
    <w:rsid w:val="00661A76"/>
    <w:rsid w:val="00664564"/>
    <w:rsid w:val="00667373"/>
    <w:rsid w:val="0067034B"/>
    <w:rsid w:val="006763F9"/>
    <w:rsid w:val="0067656B"/>
    <w:rsid w:val="006806CD"/>
    <w:rsid w:val="00680FE1"/>
    <w:rsid w:val="00683510"/>
    <w:rsid w:val="00686D5A"/>
    <w:rsid w:val="006956E8"/>
    <w:rsid w:val="0069600F"/>
    <w:rsid w:val="006A0EEB"/>
    <w:rsid w:val="006A2DEE"/>
    <w:rsid w:val="006A48C5"/>
    <w:rsid w:val="006A4AE7"/>
    <w:rsid w:val="006A4CF0"/>
    <w:rsid w:val="006A4F11"/>
    <w:rsid w:val="006A544B"/>
    <w:rsid w:val="006A59CB"/>
    <w:rsid w:val="006A72A2"/>
    <w:rsid w:val="006B0A10"/>
    <w:rsid w:val="006B1EE5"/>
    <w:rsid w:val="006B3DEB"/>
    <w:rsid w:val="006B638F"/>
    <w:rsid w:val="006B74FE"/>
    <w:rsid w:val="006C1A52"/>
    <w:rsid w:val="006C62D8"/>
    <w:rsid w:val="006C79A3"/>
    <w:rsid w:val="006D3581"/>
    <w:rsid w:val="006D35FB"/>
    <w:rsid w:val="006E2DBE"/>
    <w:rsid w:val="006E628E"/>
    <w:rsid w:val="006F0134"/>
    <w:rsid w:val="006F128B"/>
    <w:rsid w:val="007014B4"/>
    <w:rsid w:val="00705C66"/>
    <w:rsid w:val="007065B1"/>
    <w:rsid w:val="00707C81"/>
    <w:rsid w:val="00711218"/>
    <w:rsid w:val="00714557"/>
    <w:rsid w:val="00714C31"/>
    <w:rsid w:val="00716CD1"/>
    <w:rsid w:val="00716E1F"/>
    <w:rsid w:val="00724071"/>
    <w:rsid w:val="00724D9F"/>
    <w:rsid w:val="007308FD"/>
    <w:rsid w:val="0073430E"/>
    <w:rsid w:val="007351B3"/>
    <w:rsid w:val="00735965"/>
    <w:rsid w:val="00740FE7"/>
    <w:rsid w:val="00750C51"/>
    <w:rsid w:val="007515D0"/>
    <w:rsid w:val="00756867"/>
    <w:rsid w:val="00756CC7"/>
    <w:rsid w:val="00762FF0"/>
    <w:rsid w:val="00764877"/>
    <w:rsid w:val="00764C22"/>
    <w:rsid w:val="007667BB"/>
    <w:rsid w:val="00767AE4"/>
    <w:rsid w:val="0077174E"/>
    <w:rsid w:val="007718E9"/>
    <w:rsid w:val="00772F9A"/>
    <w:rsid w:val="007734DE"/>
    <w:rsid w:val="007747DD"/>
    <w:rsid w:val="00777281"/>
    <w:rsid w:val="00777658"/>
    <w:rsid w:val="007776D4"/>
    <w:rsid w:val="00780BBF"/>
    <w:rsid w:val="00783EFA"/>
    <w:rsid w:val="00784BFF"/>
    <w:rsid w:val="00796D8F"/>
    <w:rsid w:val="007A3BEB"/>
    <w:rsid w:val="007A43E3"/>
    <w:rsid w:val="007A65C1"/>
    <w:rsid w:val="007A7590"/>
    <w:rsid w:val="007B16F9"/>
    <w:rsid w:val="007B184F"/>
    <w:rsid w:val="007B21E7"/>
    <w:rsid w:val="007B293E"/>
    <w:rsid w:val="007C041F"/>
    <w:rsid w:val="007D7A4F"/>
    <w:rsid w:val="007E04F0"/>
    <w:rsid w:val="007E0FB0"/>
    <w:rsid w:val="007E19F5"/>
    <w:rsid w:val="007E586B"/>
    <w:rsid w:val="007E5954"/>
    <w:rsid w:val="007E68DF"/>
    <w:rsid w:val="007E75E3"/>
    <w:rsid w:val="007F181D"/>
    <w:rsid w:val="007F2A54"/>
    <w:rsid w:val="00801D88"/>
    <w:rsid w:val="00803A75"/>
    <w:rsid w:val="00803C53"/>
    <w:rsid w:val="00804C04"/>
    <w:rsid w:val="00805EAB"/>
    <w:rsid w:val="00806820"/>
    <w:rsid w:val="0081215B"/>
    <w:rsid w:val="00816527"/>
    <w:rsid w:val="008237E4"/>
    <w:rsid w:val="00826B8D"/>
    <w:rsid w:val="0082781E"/>
    <w:rsid w:val="00830C4A"/>
    <w:rsid w:val="00831BA5"/>
    <w:rsid w:val="00834A91"/>
    <w:rsid w:val="008365F7"/>
    <w:rsid w:val="00836CAB"/>
    <w:rsid w:val="008450ED"/>
    <w:rsid w:val="00850851"/>
    <w:rsid w:val="008516AF"/>
    <w:rsid w:val="00851AE7"/>
    <w:rsid w:val="00852A39"/>
    <w:rsid w:val="0085382F"/>
    <w:rsid w:val="00855455"/>
    <w:rsid w:val="008565D6"/>
    <w:rsid w:val="008603AF"/>
    <w:rsid w:val="008613FE"/>
    <w:rsid w:val="0086211E"/>
    <w:rsid w:val="008651A0"/>
    <w:rsid w:val="0086581F"/>
    <w:rsid w:val="0086670C"/>
    <w:rsid w:val="00875A03"/>
    <w:rsid w:val="00877232"/>
    <w:rsid w:val="00877974"/>
    <w:rsid w:val="00884B25"/>
    <w:rsid w:val="00884BE2"/>
    <w:rsid w:val="00886E74"/>
    <w:rsid w:val="00890FA0"/>
    <w:rsid w:val="008916CD"/>
    <w:rsid w:val="008A083F"/>
    <w:rsid w:val="008A2ABC"/>
    <w:rsid w:val="008A4844"/>
    <w:rsid w:val="008A6237"/>
    <w:rsid w:val="008B2830"/>
    <w:rsid w:val="008B4F22"/>
    <w:rsid w:val="008B56AB"/>
    <w:rsid w:val="008B7B63"/>
    <w:rsid w:val="008C011A"/>
    <w:rsid w:val="008C1CCE"/>
    <w:rsid w:val="008C1E80"/>
    <w:rsid w:val="008C3B45"/>
    <w:rsid w:val="008C614E"/>
    <w:rsid w:val="008C74C1"/>
    <w:rsid w:val="008C7868"/>
    <w:rsid w:val="008C7A96"/>
    <w:rsid w:val="008D03EE"/>
    <w:rsid w:val="008D0554"/>
    <w:rsid w:val="008D0BD4"/>
    <w:rsid w:val="008D7002"/>
    <w:rsid w:val="008E05FF"/>
    <w:rsid w:val="008E194A"/>
    <w:rsid w:val="008E1EAD"/>
    <w:rsid w:val="008E57DF"/>
    <w:rsid w:val="008F2445"/>
    <w:rsid w:val="008F7B9D"/>
    <w:rsid w:val="009041BF"/>
    <w:rsid w:val="00905D24"/>
    <w:rsid w:val="0091674C"/>
    <w:rsid w:val="009208DA"/>
    <w:rsid w:val="00921969"/>
    <w:rsid w:val="00925660"/>
    <w:rsid w:val="00934225"/>
    <w:rsid w:val="00940A39"/>
    <w:rsid w:val="00940D74"/>
    <w:rsid w:val="00941D97"/>
    <w:rsid w:val="00946376"/>
    <w:rsid w:val="00946A79"/>
    <w:rsid w:val="00950A77"/>
    <w:rsid w:val="00955604"/>
    <w:rsid w:val="0096134F"/>
    <w:rsid w:val="009616B2"/>
    <w:rsid w:val="00961853"/>
    <w:rsid w:val="009627CF"/>
    <w:rsid w:val="009641DC"/>
    <w:rsid w:val="009643F5"/>
    <w:rsid w:val="009658B8"/>
    <w:rsid w:val="00971182"/>
    <w:rsid w:val="00974547"/>
    <w:rsid w:val="00975185"/>
    <w:rsid w:val="00980F38"/>
    <w:rsid w:val="00983CD5"/>
    <w:rsid w:val="00992B97"/>
    <w:rsid w:val="00996147"/>
    <w:rsid w:val="009972E8"/>
    <w:rsid w:val="00997939"/>
    <w:rsid w:val="009A18B0"/>
    <w:rsid w:val="009A2C75"/>
    <w:rsid w:val="009A47DC"/>
    <w:rsid w:val="009A7B93"/>
    <w:rsid w:val="009B3215"/>
    <w:rsid w:val="009B438D"/>
    <w:rsid w:val="009B48E0"/>
    <w:rsid w:val="009B5AA7"/>
    <w:rsid w:val="009B61F9"/>
    <w:rsid w:val="009C0A9B"/>
    <w:rsid w:val="009C1241"/>
    <w:rsid w:val="009C149C"/>
    <w:rsid w:val="009C4957"/>
    <w:rsid w:val="009C502A"/>
    <w:rsid w:val="009D2799"/>
    <w:rsid w:val="009D5BA7"/>
    <w:rsid w:val="009E316D"/>
    <w:rsid w:val="009F3D17"/>
    <w:rsid w:val="009F6BE0"/>
    <w:rsid w:val="00A015D6"/>
    <w:rsid w:val="00A02328"/>
    <w:rsid w:val="00A0724A"/>
    <w:rsid w:val="00A10C6A"/>
    <w:rsid w:val="00A11D7E"/>
    <w:rsid w:val="00A145C7"/>
    <w:rsid w:val="00A15EB3"/>
    <w:rsid w:val="00A1658F"/>
    <w:rsid w:val="00A17BB6"/>
    <w:rsid w:val="00A22173"/>
    <w:rsid w:val="00A25D06"/>
    <w:rsid w:val="00A267E7"/>
    <w:rsid w:val="00A277CE"/>
    <w:rsid w:val="00A314CA"/>
    <w:rsid w:val="00A34738"/>
    <w:rsid w:val="00A37633"/>
    <w:rsid w:val="00A422D6"/>
    <w:rsid w:val="00A45631"/>
    <w:rsid w:val="00A463F4"/>
    <w:rsid w:val="00A46438"/>
    <w:rsid w:val="00A53919"/>
    <w:rsid w:val="00A5459F"/>
    <w:rsid w:val="00A6061E"/>
    <w:rsid w:val="00A62170"/>
    <w:rsid w:val="00A62B61"/>
    <w:rsid w:val="00A64BFE"/>
    <w:rsid w:val="00A72D91"/>
    <w:rsid w:val="00A81B46"/>
    <w:rsid w:val="00A83B88"/>
    <w:rsid w:val="00A84009"/>
    <w:rsid w:val="00A95AAD"/>
    <w:rsid w:val="00A96AF8"/>
    <w:rsid w:val="00AA0502"/>
    <w:rsid w:val="00AA06F7"/>
    <w:rsid w:val="00AA2378"/>
    <w:rsid w:val="00AA2A8D"/>
    <w:rsid w:val="00AA658C"/>
    <w:rsid w:val="00AA6EDC"/>
    <w:rsid w:val="00AB077C"/>
    <w:rsid w:val="00AB6839"/>
    <w:rsid w:val="00AC20A2"/>
    <w:rsid w:val="00AC2FFC"/>
    <w:rsid w:val="00AC3A46"/>
    <w:rsid w:val="00AC6EEF"/>
    <w:rsid w:val="00AD2A64"/>
    <w:rsid w:val="00AD2B15"/>
    <w:rsid w:val="00AD3069"/>
    <w:rsid w:val="00AE1D95"/>
    <w:rsid w:val="00AE32E7"/>
    <w:rsid w:val="00AE5DC9"/>
    <w:rsid w:val="00AE6E2F"/>
    <w:rsid w:val="00AF047D"/>
    <w:rsid w:val="00AF1544"/>
    <w:rsid w:val="00B00123"/>
    <w:rsid w:val="00B01755"/>
    <w:rsid w:val="00B026E4"/>
    <w:rsid w:val="00B02C84"/>
    <w:rsid w:val="00B03C8C"/>
    <w:rsid w:val="00B048B8"/>
    <w:rsid w:val="00B06EA2"/>
    <w:rsid w:val="00B06EC2"/>
    <w:rsid w:val="00B147B5"/>
    <w:rsid w:val="00B15DB0"/>
    <w:rsid w:val="00B26959"/>
    <w:rsid w:val="00B30138"/>
    <w:rsid w:val="00B31CD0"/>
    <w:rsid w:val="00B3349F"/>
    <w:rsid w:val="00B34A89"/>
    <w:rsid w:val="00B34DD1"/>
    <w:rsid w:val="00B35169"/>
    <w:rsid w:val="00B3633F"/>
    <w:rsid w:val="00B364B0"/>
    <w:rsid w:val="00B36F94"/>
    <w:rsid w:val="00B42F06"/>
    <w:rsid w:val="00B45E36"/>
    <w:rsid w:val="00B476DB"/>
    <w:rsid w:val="00B50705"/>
    <w:rsid w:val="00B546E0"/>
    <w:rsid w:val="00B57988"/>
    <w:rsid w:val="00B60100"/>
    <w:rsid w:val="00B61A5F"/>
    <w:rsid w:val="00B622B8"/>
    <w:rsid w:val="00B6258D"/>
    <w:rsid w:val="00B6356F"/>
    <w:rsid w:val="00B635DF"/>
    <w:rsid w:val="00B63CFD"/>
    <w:rsid w:val="00B67897"/>
    <w:rsid w:val="00B703FD"/>
    <w:rsid w:val="00B70987"/>
    <w:rsid w:val="00B71724"/>
    <w:rsid w:val="00B71AF6"/>
    <w:rsid w:val="00B7259A"/>
    <w:rsid w:val="00B74069"/>
    <w:rsid w:val="00B75CD4"/>
    <w:rsid w:val="00B7614A"/>
    <w:rsid w:val="00B82C6A"/>
    <w:rsid w:val="00B85AF1"/>
    <w:rsid w:val="00B87B5A"/>
    <w:rsid w:val="00B91E84"/>
    <w:rsid w:val="00B926D3"/>
    <w:rsid w:val="00B92705"/>
    <w:rsid w:val="00B9334E"/>
    <w:rsid w:val="00B9373E"/>
    <w:rsid w:val="00B93DC4"/>
    <w:rsid w:val="00B93EC1"/>
    <w:rsid w:val="00B93F50"/>
    <w:rsid w:val="00B97F17"/>
    <w:rsid w:val="00BA12AB"/>
    <w:rsid w:val="00BA3732"/>
    <w:rsid w:val="00BA64E2"/>
    <w:rsid w:val="00BA6D1D"/>
    <w:rsid w:val="00BA7CB4"/>
    <w:rsid w:val="00BB4019"/>
    <w:rsid w:val="00BC0CA3"/>
    <w:rsid w:val="00BC375F"/>
    <w:rsid w:val="00BC62AA"/>
    <w:rsid w:val="00BC7A47"/>
    <w:rsid w:val="00BD1BCF"/>
    <w:rsid w:val="00BD2EC8"/>
    <w:rsid w:val="00BD68D5"/>
    <w:rsid w:val="00BD7B69"/>
    <w:rsid w:val="00BD7D01"/>
    <w:rsid w:val="00BE03B9"/>
    <w:rsid w:val="00BE0484"/>
    <w:rsid w:val="00BE0C60"/>
    <w:rsid w:val="00BE3400"/>
    <w:rsid w:val="00BE5049"/>
    <w:rsid w:val="00BE53CA"/>
    <w:rsid w:val="00BE7472"/>
    <w:rsid w:val="00BF336B"/>
    <w:rsid w:val="00BF3E22"/>
    <w:rsid w:val="00BF4CA5"/>
    <w:rsid w:val="00BF67F4"/>
    <w:rsid w:val="00C03064"/>
    <w:rsid w:val="00C0648C"/>
    <w:rsid w:val="00C11D7C"/>
    <w:rsid w:val="00C1301F"/>
    <w:rsid w:val="00C15FDA"/>
    <w:rsid w:val="00C20F54"/>
    <w:rsid w:val="00C23DD1"/>
    <w:rsid w:val="00C23E9C"/>
    <w:rsid w:val="00C25294"/>
    <w:rsid w:val="00C25736"/>
    <w:rsid w:val="00C27E10"/>
    <w:rsid w:val="00C32492"/>
    <w:rsid w:val="00C40FD7"/>
    <w:rsid w:val="00C44802"/>
    <w:rsid w:val="00C46E1D"/>
    <w:rsid w:val="00C5242B"/>
    <w:rsid w:val="00C52581"/>
    <w:rsid w:val="00C52E17"/>
    <w:rsid w:val="00C57927"/>
    <w:rsid w:val="00C60703"/>
    <w:rsid w:val="00C62301"/>
    <w:rsid w:val="00C6367A"/>
    <w:rsid w:val="00C6492C"/>
    <w:rsid w:val="00C713F4"/>
    <w:rsid w:val="00C76E01"/>
    <w:rsid w:val="00C804F7"/>
    <w:rsid w:val="00C81D78"/>
    <w:rsid w:val="00C81E53"/>
    <w:rsid w:val="00C82797"/>
    <w:rsid w:val="00C834B0"/>
    <w:rsid w:val="00C856D5"/>
    <w:rsid w:val="00C8650B"/>
    <w:rsid w:val="00C90A51"/>
    <w:rsid w:val="00C9262D"/>
    <w:rsid w:val="00C96627"/>
    <w:rsid w:val="00C977EA"/>
    <w:rsid w:val="00CA27E2"/>
    <w:rsid w:val="00CA2F7D"/>
    <w:rsid w:val="00CA3B42"/>
    <w:rsid w:val="00CA4F12"/>
    <w:rsid w:val="00CB0994"/>
    <w:rsid w:val="00CB1B85"/>
    <w:rsid w:val="00CB4787"/>
    <w:rsid w:val="00CB5201"/>
    <w:rsid w:val="00CB575F"/>
    <w:rsid w:val="00CB5D01"/>
    <w:rsid w:val="00CB5D19"/>
    <w:rsid w:val="00CC445A"/>
    <w:rsid w:val="00CC5F20"/>
    <w:rsid w:val="00CC7E9A"/>
    <w:rsid w:val="00CD1E9E"/>
    <w:rsid w:val="00CD4221"/>
    <w:rsid w:val="00CD6079"/>
    <w:rsid w:val="00CD60F1"/>
    <w:rsid w:val="00CD64B0"/>
    <w:rsid w:val="00CE3548"/>
    <w:rsid w:val="00CE47B4"/>
    <w:rsid w:val="00CE4EB2"/>
    <w:rsid w:val="00CF2C6C"/>
    <w:rsid w:val="00CF2E97"/>
    <w:rsid w:val="00CF4012"/>
    <w:rsid w:val="00CF4776"/>
    <w:rsid w:val="00CF49B9"/>
    <w:rsid w:val="00D014C5"/>
    <w:rsid w:val="00D01843"/>
    <w:rsid w:val="00D0197F"/>
    <w:rsid w:val="00D02ACC"/>
    <w:rsid w:val="00D07281"/>
    <w:rsid w:val="00D114A8"/>
    <w:rsid w:val="00D120C1"/>
    <w:rsid w:val="00D13D14"/>
    <w:rsid w:val="00D16645"/>
    <w:rsid w:val="00D236EB"/>
    <w:rsid w:val="00D26E64"/>
    <w:rsid w:val="00D30D8D"/>
    <w:rsid w:val="00D32CDA"/>
    <w:rsid w:val="00D3462E"/>
    <w:rsid w:val="00D37BB7"/>
    <w:rsid w:val="00D42F1A"/>
    <w:rsid w:val="00D441A9"/>
    <w:rsid w:val="00D4437E"/>
    <w:rsid w:val="00D47AA4"/>
    <w:rsid w:val="00D523ED"/>
    <w:rsid w:val="00D534D9"/>
    <w:rsid w:val="00D56C7B"/>
    <w:rsid w:val="00D60459"/>
    <w:rsid w:val="00D6089B"/>
    <w:rsid w:val="00D615CC"/>
    <w:rsid w:val="00D63150"/>
    <w:rsid w:val="00D63FCE"/>
    <w:rsid w:val="00D677B9"/>
    <w:rsid w:val="00D73DD3"/>
    <w:rsid w:val="00D74290"/>
    <w:rsid w:val="00D7637B"/>
    <w:rsid w:val="00D77A96"/>
    <w:rsid w:val="00D814AD"/>
    <w:rsid w:val="00D845EE"/>
    <w:rsid w:val="00D85A46"/>
    <w:rsid w:val="00D86383"/>
    <w:rsid w:val="00D86939"/>
    <w:rsid w:val="00D92D5C"/>
    <w:rsid w:val="00DA102B"/>
    <w:rsid w:val="00DA3DA0"/>
    <w:rsid w:val="00DA5459"/>
    <w:rsid w:val="00DB0527"/>
    <w:rsid w:val="00DB0C38"/>
    <w:rsid w:val="00DB57A3"/>
    <w:rsid w:val="00DB5C1C"/>
    <w:rsid w:val="00DB6C02"/>
    <w:rsid w:val="00DB7939"/>
    <w:rsid w:val="00DC110A"/>
    <w:rsid w:val="00DC6FA8"/>
    <w:rsid w:val="00DE247C"/>
    <w:rsid w:val="00DE470D"/>
    <w:rsid w:val="00DE5198"/>
    <w:rsid w:val="00DE612B"/>
    <w:rsid w:val="00DE7A23"/>
    <w:rsid w:val="00DE7E6F"/>
    <w:rsid w:val="00DF2657"/>
    <w:rsid w:val="00DF50F5"/>
    <w:rsid w:val="00E0074C"/>
    <w:rsid w:val="00E026D2"/>
    <w:rsid w:val="00E10DF4"/>
    <w:rsid w:val="00E12078"/>
    <w:rsid w:val="00E20BF1"/>
    <w:rsid w:val="00E230DC"/>
    <w:rsid w:val="00E23779"/>
    <w:rsid w:val="00E237DA"/>
    <w:rsid w:val="00E27684"/>
    <w:rsid w:val="00E27F56"/>
    <w:rsid w:val="00E33AA2"/>
    <w:rsid w:val="00E3449B"/>
    <w:rsid w:val="00E35F80"/>
    <w:rsid w:val="00E44FEA"/>
    <w:rsid w:val="00E452FB"/>
    <w:rsid w:val="00E50F64"/>
    <w:rsid w:val="00E53190"/>
    <w:rsid w:val="00E5339F"/>
    <w:rsid w:val="00E542A9"/>
    <w:rsid w:val="00E603DF"/>
    <w:rsid w:val="00E606B1"/>
    <w:rsid w:val="00E625A8"/>
    <w:rsid w:val="00E71C46"/>
    <w:rsid w:val="00E76B99"/>
    <w:rsid w:val="00E7757B"/>
    <w:rsid w:val="00E8109D"/>
    <w:rsid w:val="00E85BC7"/>
    <w:rsid w:val="00E86A6A"/>
    <w:rsid w:val="00E86E66"/>
    <w:rsid w:val="00E87ADA"/>
    <w:rsid w:val="00E9060F"/>
    <w:rsid w:val="00E910C9"/>
    <w:rsid w:val="00EA04D9"/>
    <w:rsid w:val="00EA06A0"/>
    <w:rsid w:val="00EA303E"/>
    <w:rsid w:val="00EA347E"/>
    <w:rsid w:val="00EA51AC"/>
    <w:rsid w:val="00EA6497"/>
    <w:rsid w:val="00EA6B67"/>
    <w:rsid w:val="00EB3EB6"/>
    <w:rsid w:val="00EB5A13"/>
    <w:rsid w:val="00EB5AAA"/>
    <w:rsid w:val="00EC09DA"/>
    <w:rsid w:val="00EC27EC"/>
    <w:rsid w:val="00EC2F78"/>
    <w:rsid w:val="00EC313B"/>
    <w:rsid w:val="00EC3332"/>
    <w:rsid w:val="00EC3E52"/>
    <w:rsid w:val="00EC7AB7"/>
    <w:rsid w:val="00ED03C2"/>
    <w:rsid w:val="00ED3EB4"/>
    <w:rsid w:val="00ED5612"/>
    <w:rsid w:val="00ED7390"/>
    <w:rsid w:val="00EE2F04"/>
    <w:rsid w:val="00EE4574"/>
    <w:rsid w:val="00EE4895"/>
    <w:rsid w:val="00EE4A8C"/>
    <w:rsid w:val="00EE5376"/>
    <w:rsid w:val="00EF5F75"/>
    <w:rsid w:val="00EF69E0"/>
    <w:rsid w:val="00EF6E5F"/>
    <w:rsid w:val="00F01429"/>
    <w:rsid w:val="00F0177D"/>
    <w:rsid w:val="00F04253"/>
    <w:rsid w:val="00F05285"/>
    <w:rsid w:val="00F07548"/>
    <w:rsid w:val="00F134D9"/>
    <w:rsid w:val="00F1375A"/>
    <w:rsid w:val="00F15988"/>
    <w:rsid w:val="00F21FCD"/>
    <w:rsid w:val="00F2347D"/>
    <w:rsid w:val="00F25388"/>
    <w:rsid w:val="00F32026"/>
    <w:rsid w:val="00F32FAF"/>
    <w:rsid w:val="00F3342B"/>
    <w:rsid w:val="00F36732"/>
    <w:rsid w:val="00F3691B"/>
    <w:rsid w:val="00F36DFA"/>
    <w:rsid w:val="00F40872"/>
    <w:rsid w:val="00F4127B"/>
    <w:rsid w:val="00F427D2"/>
    <w:rsid w:val="00F42B56"/>
    <w:rsid w:val="00F4332D"/>
    <w:rsid w:val="00F44AA0"/>
    <w:rsid w:val="00F455AC"/>
    <w:rsid w:val="00F5048B"/>
    <w:rsid w:val="00F5252E"/>
    <w:rsid w:val="00F60560"/>
    <w:rsid w:val="00F640E0"/>
    <w:rsid w:val="00F648E5"/>
    <w:rsid w:val="00F64A1C"/>
    <w:rsid w:val="00F77BC8"/>
    <w:rsid w:val="00F83CB9"/>
    <w:rsid w:val="00F90C29"/>
    <w:rsid w:val="00F949BD"/>
    <w:rsid w:val="00F955A8"/>
    <w:rsid w:val="00FA6EFA"/>
    <w:rsid w:val="00FA7B2E"/>
    <w:rsid w:val="00FB11C5"/>
    <w:rsid w:val="00FB24C4"/>
    <w:rsid w:val="00FC28E0"/>
    <w:rsid w:val="00FC3088"/>
    <w:rsid w:val="00FC73DB"/>
    <w:rsid w:val="00FD1E79"/>
    <w:rsid w:val="00FD3816"/>
    <w:rsid w:val="00FE076C"/>
    <w:rsid w:val="00FE16A3"/>
    <w:rsid w:val="00FE286D"/>
    <w:rsid w:val="00FE2F36"/>
    <w:rsid w:val="00FE7F69"/>
    <w:rsid w:val="00FF1355"/>
    <w:rsid w:val="00FF1D3E"/>
    <w:rsid w:val="00FF2FEE"/>
    <w:rsid w:val="00FF3240"/>
    <w:rsid w:val="00FF3740"/>
    <w:rsid w:val="00FF3A3B"/>
    <w:rsid w:val="00FF43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77"/>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64877"/>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64877"/>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64877"/>
    <w:pPr>
      <w:spacing w:after="120"/>
      <w:outlineLvl w:val="2"/>
    </w:pPr>
    <w:rPr>
      <w:bCs w:val="0"/>
      <w:sz w:val="24"/>
      <w:szCs w:val="26"/>
    </w:rPr>
  </w:style>
  <w:style w:type="paragraph" w:styleId="Heading4">
    <w:name w:val="heading 4"/>
    <w:basedOn w:val="Normal"/>
    <w:next w:val="Normal"/>
    <w:link w:val="Heading4Char"/>
    <w:qFormat/>
    <w:rsid w:val="00764877"/>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semiHidden/>
    <w:rsid w:val="003C61FB"/>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764877"/>
    <w:pPr>
      <w:outlineLvl w:val="5"/>
    </w:pPr>
  </w:style>
  <w:style w:type="paragraph" w:styleId="Heading7">
    <w:name w:val="heading 7"/>
    <w:basedOn w:val="Normal"/>
    <w:next w:val="Normal"/>
    <w:link w:val="Heading7Char"/>
    <w:semiHidden/>
    <w:qFormat/>
    <w:rsid w:val="00764877"/>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64877"/>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64877"/>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9B48E0"/>
    <w:rPr>
      <w:sz w:val="18"/>
      <w:szCs w:val="16"/>
      <w:lang w:eastAsia="x-none"/>
    </w:rPr>
  </w:style>
  <w:style w:type="paragraph" w:styleId="FootnoteText">
    <w:name w:val="footnote text"/>
    <w:basedOn w:val="footnote"/>
    <w:link w:val="FootnoteTextChar"/>
    <w:uiPriority w:val="99"/>
    <w:qFormat/>
    <w:rsid w:val="009B48E0"/>
    <w:rPr>
      <w:rFonts w:ascii="Verdana" w:hAnsi="Verdana" w:cs="Times New Roman"/>
      <w:sz w:val="18"/>
      <w:lang w:eastAsia="x-none"/>
    </w:rPr>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BF336B"/>
    <w:rPr>
      <w:rFonts w:ascii="Arial" w:hAnsi="Arial"/>
      <w:sz w:val="18"/>
      <w:lang w:val="x-none" w:eastAsia="en-GB" w:bidi="ar-SA"/>
    </w:rPr>
  </w:style>
  <w:style w:type="paragraph" w:styleId="Header">
    <w:name w:val="header"/>
    <w:basedOn w:val="Normal"/>
    <w:link w:val="HeaderChar"/>
    <w:semiHidden/>
    <w:rsid w:val="00BF336B"/>
    <w:pPr>
      <w:tabs>
        <w:tab w:val="center" w:pos="4513"/>
        <w:tab w:val="right" w:pos="9026"/>
      </w:tabs>
      <w:spacing w:after="0"/>
    </w:pPr>
    <w:rPr>
      <w:rFonts w:cs="Times New Roman"/>
      <w:sz w:val="18"/>
      <w:lang w:val="x-none" w:eastAsia="en-GB"/>
    </w:rPr>
  </w:style>
  <w:style w:type="paragraph" w:styleId="BodyText">
    <w:name w:val="Body Text"/>
    <w:basedOn w:val="Normal"/>
    <w:semiHidden/>
    <w:rsid w:val="00F36732"/>
  </w:style>
  <w:style w:type="paragraph" w:styleId="BodyText2">
    <w:name w:val="Body Text 2"/>
    <w:basedOn w:val="Normal"/>
    <w:semiHidden/>
    <w:rsid w:val="00F36732"/>
    <w:pPr>
      <w:spacing w:line="480" w:lineRule="auto"/>
    </w:pPr>
  </w:style>
  <w:style w:type="character" w:customStyle="1" w:styleId="Heading7Char">
    <w:name w:val="Heading 7 Char"/>
    <w:link w:val="Heading7"/>
    <w:semiHidden/>
    <w:rsid w:val="00764877"/>
    <w:rPr>
      <w:rFonts w:ascii="Arial" w:eastAsiaTheme="majorEastAsia" w:hAnsi="Arial" w:cs="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rsid w:val="00764877"/>
    <w:rPr>
      <w:rFonts w:eastAsiaTheme="majorEastAsia" w:cs="Arial"/>
      <w:bCs/>
      <w:i/>
      <w:sz w:val="22"/>
      <w:szCs w:val="22"/>
      <w:lang w:val="x-none" w:eastAsia="x-none"/>
    </w:rPr>
  </w:style>
  <w:style w:type="character" w:customStyle="1" w:styleId="Heading3Char">
    <w:name w:val="Heading 3 Char"/>
    <w:link w:val="Heading3"/>
    <w:rsid w:val="00764877"/>
    <w:rPr>
      <w:rFonts w:eastAsiaTheme="majorEastAsia" w:cs="Arial"/>
      <w:b/>
      <w:iCs/>
      <w:sz w:val="24"/>
      <w:szCs w:val="26"/>
    </w:rPr>
  </w:style>
  <w:style w:type="character" w:customStyle="1" w:styleId="Heading2Char">
    <w:name w:val="Heading 2 Char"/>
    <w:link w:val="Heading2"/>
    <w:rsid w:val="00764877"/>
    <w:rPr>
      <w:rFonts w:eastAsiaTheme="majorEastAsia" w:cs="Arial"/>
      <w:b/>
      <w:bCs/>
      <w:iCs/>
      <w:sz w:val="28"/>
      <w:szCs w:val="28"/>
    </w:rPr>
  </w:style>
  <w:style w:type="character" w:customStyle="1" w:styleId="Heading1Char">
    <w:name w:val="Heading 1 Char"/>
    <w:link w:val="Heading1"/>
    <w:rsid w:val="00764877"/>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semiHidden/>
    <w:rsid w:val="00F36732"/>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line="480" w:lineRule="auto"/>
      <w:ind w:left="283"/>
    </w:pPr>
  </w:style>
  <w:style w:type="numbering" w:customStyle="1" w:styleId="RecList">
    <w:name w:val="Rec List"/>
    <w:basedOn w:val="NoList"/>
    <w:rsid w:val="00525C5E"/>
  </w:style>
  <w:style w:type="paragraph" w:styleId="BodyTextIndent3">
    <w:name w:val="Body Text Indent 3"/>
    <w:basedOn w:val="Normal"/>
    <w:semiHidden/>
    <w:rsid w:val="00F36732"/>
    <w:pPr>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uiPriority w:val="4"/>
    <w:qFormat/>
    <w:rsid w:val="00764877"/>
    <w:pPr>
      <w:numPr>
        <w:numId w:val="18"/>
      </w:numPr>
      <w:spacing w:after="0" w:line="240" w:lineRule="auto"/>
    </w:pPr>
    <w:rPr>
      <w:lang w:eastAsia="en-US"/>
    </w:rPr>
  </w:style>
  <w:style w:type="paragraph" w:styleId="Footer">
    <w:name w:val="footer"/>
    <w:basedOn w:val="Normal"/>
    <w:link w:val="FooterChar"/>
    <w:uiPriority w:val="99"/>
    <w:rsid w:val="003C61FB"/>
    <w:pPr>
      <w:tabs>
        <w:tab w:val="center" w:pos="4320"/>
        <w:tab w:val="right" w:pos="8640"/>
      </w:tabs>
    </w:pPr>
  </w:style>
  <w:style w:type="paragraph" w:customStyle="1" w:styleId="FooterText">
    <w:name w:val="Footer Text"/>
    <w:basedOn w:val="Normal"/>
    <w:semiHidden/>
    <w:qFormat/>
    <w:rsid w:val="00764877"/>
    <w:pPr>
      <w:tabs>
        <w:tab w:val="center" w:pos="4513"/>
        <w:tab w:val="right" w:pos="9026"/>
      </w:tabs>
      <w:spacing w:after="0" w:line="240" w:lineRule="auto"/>
    </w:pPr>
    <w:rPr>
      <w:sz w:val="16"/>
      <w:szCs w:val="16"/>
    </w:rPr>
  </w:style>
  <w:style w:type="paragraph" w:customStyle="1" w:styleId="footnote">
    <w:name w:val="footnote"/>
    <w:basedOn w:val="Normal"/>
    <w:rsid w:val="00B61A5F"/>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uiPriority w:val="99"/>
    <w:rsid w:val="002F30F1"/>
    <w:rPr>
      <w:rFonts w:ascii="Arial" w:hAnsi="Arial"/>
      <w:sz w:val="18"/>
      <w:szCs w:val="16"/>
      <w:vertAlign w:val="superscript"/>
      <w:lang w:val="en-US" w:eastAsia="x-none" w:bidi="ar-SA"/>
    </w:rPr>
  </w:style>
  <w:style w:type="paragraph" w:customStyle="1" w:styleId="WorkshopName">
    <w:name w:val="Workshop Name"/>
    <w:basedOn w:val="Normal"/>
    <w:semiHidden/>
    <w:qFormat/>
    <w:locked/>
    <w:rsid w:val="00764877"/>
    <w:pPr>
      <w:spacing w:before="720" w:line="120" w:lineRule="atLeast"/>
      <w:ind w:left="397"/>
    </w:pPr>
    <w:rPr>
      <w:b/>
      <w:noProof/>
      <w:color w:val="007B85"/>
      <w:sz w:val="80"/>
      <w:szCs w:val="80"/>
    </w:rPr>
  </w:style>
  <w:style w:type="paragraph" w:customStyle="1" w:styleId="Bullet2">
    <w:name w:val="Bullet2"/>
    <w:uiPriority w:val="4"/>
    <w:qFormat/>
    <w:rsid w:val="00764877"/>
    <w:pPr>
      <w:numPr>
        <w:numId w:val="19"/>
      </w:numPr>
      <w:spacing w:before="120"/>
    </w:pPr>
    <w:rPr>
      <w:lang w:eastAsia="en-US"/>
    </w:rPr>
  </w:style>
  <w:style w:type="paragraph" w:customStyle="1" w:styleId="LogoStyle">
    <w:name w:val="Logo Style"/>
    <w:basedOn w:val="Normal"/>
    <w:semiHidden/>
    <w:rsid w:val="00525C5E"/>
    <w:pPr>
      <w:jc w:val="right"/>
    </w:pPr>
    <w:rPr>
      <w:rFonts w:cs="Times New Roman"/>
    </w:rPr>
  </w:style>
  <w:style w:type="paragraph" w:customStyle="1" w:styleId="ReportBody">
    <w:name w:val="Report Body"/>
    <w:basedOn w:val="Normal"/>
    <w:link w:val="ReportBodyChar"/>
    <w:qFormat/>
    <w:rsid w:val="00C11D7C"/>
    <w:pPr>
      <w:numPr>
        <w:numId w:val="22"/>
      </w:numPr>
      <w:suppressAutoHyphens w:val="0"/>
      <w:autoSpaceDE/>
      <w:autoSpaceDN/>
      <w:adjustRightInd/>
      <w:spacing w:line="240" w:lineRule="auto"/>
      <w:textAlignment w:val="auto"/>
    </w:pPr>
    <w:rPr>
      <w:color w:val="000000"/>
      <w:kern w:val="22"/>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uiPriority w:val="99"/>
    <w:semiHidden/>
    <w:rsid w:val="003C61FB"/>
    <w:rPr>
      <w:color w:val="0000FF"/>
      <w:u w:val="single"/>
    </w:rPr>
  </w:style>
  <w:style w:type="paragraph" w:customStyle="1" w:styleId="Introduction">
    <w:name w:val="Introduction"/>
    <w:basedOn w:val="Normal"/>
    <w:semiHidden/>
    <w:qFormat/>
    <w:locked/>
    <w:rsid w:val="00764877"/>
    <w:pPr>
      <w:tabs>
        <w:tab w:val="right" w:leader="dot" w:pos="9524"/>
      </w:tabs>
      <w:spacing w:before="440" w:after="200" w:line="320" w:lineRule="atLeast"/>
      <w:ind w:left="380" w:right="380"/>
    </w:pPr>
    <w:rPr>
      <w:color w:val="FFFFFF"/>
      <w:sz w:val="26"/>
      <w:szCs w:val="26"/>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style>
  <w:style w:type="paragraph" w:customStyle="1" w:styleId="fileref">
    <w:name w:val="file ref"/>
    <w:basedOn w:val="ReportBody"/>
    <w:semiHidden/>
    <w:rsid w:val="00517967"/>
    <w:pPr>
      <w:numPr>
        <w:numId w:val="0"/>
      </w:numPr>
    </w:pPr>
  </w:style>
  <w:style w:type="paragraph" w:customStyle="1" w:styleId="AgreeDisagree">
    <w:name w:val="Agree/Disagree"/>
    <w:basedOn w:val="Normal"/>
    <w:next w:val="RecNumber"/>
    <w:rsid w:val="00A463F4"/>
    <w:pPr>
      <w:jc w:val="right"/>
    </w:pPr>
    <w:rPr>
      <w:b/>
    </w:rPr>
  </w:style>
  <w:style w:type="paragraph" w:styleId="ListBullet4">
    <w:name w:val="List Bullet 4"/>
    <w:basedOn w:val="Normal"/>
    <w:semiHidden/>
    <w:rsid w:val="003C61FB"/>
    <w:pPr>
      <w:numPr>
        <w:numId w:val="7"/>
      </w:numPr>
    </w:pPr>
  </w:style>
  <w:style w:type="paragraph" w:styleId="ListBullet5">
    <w:name w:val="List Bullet 5"/>
    <w:basedOn w:val="Normal"/>
    <w:semiHidden/>
    <w:rsid w:val="003C61FB"/>
    <w:pPr>
      <w:numPr>
        <w:numId w:val="8"/>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9"/>
      </w:numPr>
    </w:pPr>
  </w:style>
  <w:style w:type="paragraph" w:styleId="ListNumber4">
    <w:name w:val="List Number 4"/>
    <w:basedOn w:val="Normal"/>
    <w:semiHidden/>
    <w:rsid w:val="003C61FB"/>
    <w:pPr>
      <w:numPr>
        <w:numId w:val="10"/>
      </w:numPr>
      <w:tabs>
        <w:tab w:val="clear" w:pos="1209"/>
        <w:tab w:val="num" w:pos="360"/>
      </w:tabs>
      <w:ind w:left="0" w:firstLine="0"/>
    </w:pPr>
  </w:style>
  <w:style w:type="paragraph" w:styleId="ListNumber5">
    <w:name w:val="List Number 5"/>
    <w:basedOn w:val="Normal"/>
    <w:semiHidden/>
    <w:rsid w:val="003C61FB"/>
    <w:pPr>
      <w:numPr>
        <w:numId w:val="11"/>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64877"/>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64877"/>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64877"/>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64877"/>
    <w:pPr>
      <w:spacing w:after="80"/>
      <w:ind w:left="438"/>
    </w:pPr>
    <w:rPr>
      <w:b/>
      <w:color w:val="007073"/>
      <w:sz w:val="16"/>
      <w:szCs w:val="16"/>
    </w:rPr>
  </w:style>
  <w:style w:type="paragraph" w:customStyle="1" w:styleId="ReportDate">
    <w:name w:val="Report Date"/>
    <w:basedOn w:val="Heading2"/>
    <w:semiHidden/>
    <w:qFormat/>
    <w:locked/>
    <w:rsid w:val="00764877"/>
    <w:pPr>
      <w:spacing w:line="240" w:lineRule="auto"/>
      <w:ind w:left="420"/>
    </w:pPr>
    <w:rPr>
      <w:caps/>
    </w:rPr>
  </w:style>
  <w:style w:type="paragraph" w:customStyle="1" w:styleId="ReportFooter">
    <w:name w:val="Report Footer"/>
    <w:basedOn w:val="Normal"/>
    <w:semiHidden/>
    <w:qFormat/>
    <w:rsid w:val="00764877"/>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64877"/>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C61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64877"/>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64877"/>
    <w:pPr>
      <w:pageBreakBefore/>
      <w:spacing w:before="1080" w:after="700" w:line="240" w:lineRule="auto"/>
      <w:outlineLvl w:val="0"/>
    </w:pPr>
    <w:rPr>
      <w:rFonts w:eastAsiaTheme="majorEastAsia"/>
      <w:b/>
      <w:bCs/>
      <w:color w:val="007B85"/>
      <w:sz w:val="28"/>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rPr>
  </w:style>
  <w:style w:type="paragraph" w:customStyle="1" w:styleId="TemplateTitle">
    <w:name w:val="_Template Title"/>
    <w:basedOn w:val="Normal"/>
    <w:next w:val="Normal"/>
    <w:semiHidden/>
    <w:qFormat/>
    <w:rsid w:val="00764877"/>
    <w:pPr>
      <w:tabs>
        <w:tab w:val="left" w:pos="1620"/>
        <w:tab w:val="left" w:pos="5940"/>
      </w:tabs>
      <w:spacing w:after="0" w:line="240" w:lineRule="auto"/>
    </w:pPr>
    <w:rPr>
      <w:rFonts w:ascii="Georgia" w:hAnsi="Georgia" w:cs="Calibri"/>
      <w:b/>
      <w:color w:val="999999"/>
      <w:sz w:val="52"/>
      <w:szCs w:val="96"/>
    </w:rPr>
  </w:style>
  <w:style w:type="paragraph" w:customStyle="1" w:styleId="StyleBodyTextArial14ptBoldAuto">
    <w:name w:val="Style Body Text + Arial 14 pt Bold Auto"/>
    <w:basedOn w:val="Normal"/>
    <w:semiHidden/>
    <w:rsid w:val="00F36732"/>
    <w:rPr>
      <w:rFonts w:cs="Times New Roman"/>
      <w:b/>
      <w:bCs/>
      <w:sz w:val="28"/>
      <w:lang w:val="x-none" w:eastAsia="en-GB"/>
    </w:rPr>
  </w:style>
  <w:style w:type="paragraph" w:customStyle="1" w:styleId="TemplateFooter">
    <w:name w:val="_Template Footer"/>
    <w:basedOn w:val="Footer"/>
    <w:semiHidden/>
    <w:qFormat/>
    <w:rsid w:val="00764877"/>
    <w:pPr>
      <w:ind w:right="360"/>
    </w:pPr>
    <w:rPr>
      <w:sz w:val="16"/>
      <w:szCs w:val="18"/>
    </w:rPr>
  </w:style>
  <w:style w:type="paragraph" w:customStyle="1" w:styleId="SignatureText">
    <w:name w:val="Signature Text"/>
    <w:basedOn w:val="BodyText"/>
    <w:semiHidden/>
    <w:rsid w:val="00525C5E"/>
    <w:pPr>
      <w:spacing w:after="0" w:line="240" w:lineRule="auto"/>
    </w:pPr>
  </w:style>
  <w:style w:type="paragraph" w:styleId="Date">
    <w:name w:val="Date"/>
    <w:basedOn w:val="Normal"/>
    <w:next w:val="Normal"/>
    <w:semiHidden/>
    <w:rsid w:val="004561BD"/>
  </w:style>
  <w:style w:type="character" w:styleId="Emphasis">
    <w:name w:val="Emphasis"/>
    <w:basedOn w:val="DefaultParagraphFont"/>
    <w:semiHidden/>
    <w:qFormat/>
    <w:rsid w:val="00764877"/>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561BD"/>
  </w:style>
  <w:style w:type="paragraph" w:styleId="ListBullet3">
    <w:name w:val="List Bullet 3"/>
    <w:basedOn w:val="Normal"/>
    <w:semiHidden/>
    <w:rsid w:val="004561BD"/>
    <w:pPr>
      <w:numPr>
        <w:numId w:val="6"/>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764877"/>
    <w:rPr>
      <w:b/>
      <w:bCs/>
    </w:rPr>
  </w:style>
  <w:style w:type="paragraph" w:styleId="Subtitle">
    <w:name w:val="Subtitle"/>
    <w:basedOn w:val="Normal"/>
    <w:link w:val="SubtitleChar"/>
    <w:semiHidden/>
    <w:qFormat/>
    <w:rsid w:val="00764877"/>
    <w:pPr>
      <w:spacing w:after="60"/>
      <w:jc w:val="center"/>
      <w:outlineLvl w:val="1"/>
    </w:pPr>
    <w:rPr>
      <w:rFonts w:eastAsiaTheme="majorEastAsia"/>
      <w:sz w:val="24"/>
      <w:szCs w:val="24"/>
    </w:rPr>
  </w:style>
  <w:style w:type="paragraph" w:styleId="Title">
    <w:name w:val="Title"/>
    <w:basedOn w:val="Normal"/>
    <w:link w:val="TitleChar"/>
    <w:semiHidden/>
    <w:qFormat/>
    <w:rsid w:val="00764877"/>
    <w:pPr>
      <w:spacing w:before="240" w:after="60"/>
      <w:jc w:val="center"/>
      <w:outlineLvl w:val="0"/>
    </w:pPr>
    <w:rPr>
      <w:rFonts w:eastAsiaTheme="majorEastAsia"/>
      <w:b/>
      <w:bCs/>
      <w:kern w:val="28"/>
      <w:sz w:val="32"/>
      <w:szCs w:val="32"/>
    </w:rPr>
  </w:style>
  <w:style w:type="paragraph" w:customStyle="1" w:styleId="RecNumber">
    <w:name w:val="Rec Number"/>
    <w:basedOn w:val="Normal"/>
    <w:rsid w:val="00525C5E"/>
    <w:pPr>
      <w:suppressAutoHyphens w:val="0"/>
      <w:autoSpaceDE/>
      <w:autoSpaceDN/>
      <w:adjustRightInd/>
      <w:spacing w:before="240" w:after="0" w:line="260" w:lineRule="exact"/>
      <w:jc w:val="both"/>
      <w:textAlignment w:val="auto"/>
    </w:pPr>
    <w:rPr>
      <w:rFonts w:ascii="Arial Mäori" w:hAnsi="Arial Mäori" w:cs="Times New Roman"/>
      <w:kern w:val="22"/>
      <w:lang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rPr>
      <w:b/>
      <w:bCs/>
      <w:sz w:val="24"/>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RecLevel2">
    <w:name w:val="Rec Level2"/>
    <w:basedOn w:val="RecLevel1"/>
    <w:qFormat/>
    <w:rsid w:val="003073E7"/>
    <w:pPr>
      <w:numPr>
        <w:ilvl w:val="1"/>
      </w:numPr>
      <w:ind w:left="1134" w:hanging="567"/>
    </w:pPr>
  </w:style>
  <w:style w:type="paragraph" w:customStyle="1" w:styleId="ReportBody2">
    <w:name w:val="Report Body 2"/>
    <w:basedOn w:val="ReportBody"/>
    <w:qFormat/>
    <w:rsid w:val="00764877"/>
    <w:pPr>
      <w:numPr>
        <w:ilvl w:val="1"/>
      </w:numPr>
    </w:pPr>
  </w:style>
  <w:style w:type="paragraph" w:customStyle="1" w:styleId="Minister">
    <w:name w:val="Minister"/>
    <w:basedOn w:val="Normal"/>
    <w:semiHidden/>
    <w:unhideWhenUsed/>
    <w:qFormat/>
    <w:rsid w:val="00764877"/>
    <w:pPr>
      <w:spacing w:after="0" w:line="240" w:lineRule="auto"/>
      <w:contextualSpacing/>
    </w:pPr>
  </w:style>
  <w:style w:type="paragraph" w:customStyle="1" w:styleId="Portfolio">
    <w:name w:val="Portfolio"/>
    <w:basedOn w:val="Minister"/>
    <w:semiHidden/>
    <w:unhideWhenUsed/>
    <w:qFormat/>
    <w:rsid w:val="00764877"/>
    <w:pPr>
      <w:spacing w:before="0"/>
    </w:pPr>
    <w:rPr>
      <w:rFonts w:ascii="Calibri" w:hAnsi="Calibri"/>
    </w:rPr>
  </w:style>
  <w:style w:type="paragraph" w:customStyle="1" w:styleId="TemplateTitleSub">
    <w:name w:val="_Template Title_Sub"/>
    <w:basedOn w:val="Normal"/>
    <w:semiHidden/>
    <w:qFormat/>
    <w:rsid w:val="00764877"/>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3073E7"/>
    <w:pPr>
      <w:numPr>
        <w:numId w:val="24"/>
      </w:numPr>
      <w:tabs>
        <w:tab w:val="left" w:pos="567"/>
      </w:tabs>
      <w:ind w:left="567" w:hanging="567"/>
    </w:pPr>
  </w:style>
  <w:style w:type="character" w:customStyle="1" w:styleId="RecLevel1Char">
    <w:name w:val="Rec Level1 Char"/>
    <w:basedOn w:val="DefaultParagraphFont"/>
    <w:link w:val="RecLevel1"/>
    <w:rsid w:val="003073E7"/>
    <w:rPr>
      <w:rFonts w:cs="Arial"/>
    </w:rPr>
  </w:style>
  <w:style w:type="character" w:customStyle="1" w:styleId="Heading6Char">
    <w:name w:val="Heading 6 Char"/>
    <w:basedOn w:val="DefaultParagraphFont"/>
    <w:link w:val="Heading6"/>
    <w:semiHidden/>
    <w:rsid w:val="00764877"/>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64877"/>
    <w:rPr>
      <w:rFonts w:eastAsiaTheme="majorEastAsia" w:cs="Arial"/>
      <w:i/>
      <w:iCs/>
      <w:sz w:val="16"/>
      <w:szCs w:val="24"/>
    </w:rPr>
  </w:style>
  <w:style w:type="character" w:customStyle="1" w:styleId="Heading9Char">
    <w:name w:val="Heading 9 Char"/>
    <w:basedOn w:val="DefaultParagraphFont"/>
    <w:link w:val="Heading9"/>
    <w:semiHidden/>
    <w:rsid w:val="00764877"/>
    <w:rPr>
      <w:rFonts w:eastAsiaTheme="majorEastAsia" w:cs="Arial"/>
      <w:sz w:val="16"/>
    </w:rPr>
  </w:style>
  <w:style w:type="character" w:customStyle="1" w:styleId="TitleChar">
    <w:name w:val="Title Char"/>
    <w:basedOn w:val="DefaultParagraphFont"/>
    <w:link w:val="Title"/>
    <w:semiHidden/>
    <w:rsid w:val="00764877"/>
    <w:rPr>
      <w:rFonts w:eastAsiaTheme="majorEastAsia" w:cs="Arial"/>
      <w:b/>
      <w:bCs/>
      <w:kern w:val="28"/>
      <w:sz w:val="32"/>
      <w:szCs w:val="32"/>
    </w:rPr>
  </w:style>
  <w:style w:type="character" w:customStyle="1" w:styleId="SubtitleChar">
    <w:name w:val="Subtitle Char"/>
    <w:basedOn w:val="DefaultParagraphFont"/>
    <w:link w:val="Subtitle"/>
    <w:semiHidden/>
    <w:rsid w:val="00764877"/>
    <w:rPr>
      <w:rFonts w:eastAsiaTheme="majorEastAsia" w:cs="Arial"/>
      <w:sz w:val="24"/>
      <w:szCs w:val="24"/>
    </w:rPr>
  </w:style>
  <w:style w:type="paragraph" w:styleId="NoSpacing">
    <w:name w:val="No Spacing"/>
    <w:basedOn w:val="BodyText"/>
    <w:uiPriority w:val="1"/>
    <w:semiHidden/>
    <w:qFormat/>
    <w:rsid w:val="00764877"/>
    <w:pPr>
      <w:spacing w:before="0" w:after="0" w:line="240" w:lineRule="auto"/>
    </w:pPr>
  </w:style>
  <w:style w:type="paragraph" w:styleId="ListParagraph">
    <w:name w:val="List Paragraph"/>
    <w:basedOn w:val="Normal"/>
    <w:uiPriority w:val="34"/>
    <w:qFormat/>
    <w:rsid w:val="00764877"/>
    <w:pPr>
      <w:ind w:left="720"/>
      <w:contextualSpacing/>
    </w:pPr>
  </w:style>
  <w:style w:type="paragraph" w:styleId="Quote">
    <w:name w:val="Quote"/>
    <w:basedOn w:val="Normal"/>
    <w:next w:val="Normal"/>
    <w:link w:val="QuoteChar"/>
    <w:uiPriority w:val="29"/>
    <w:semiHidden/>
    <w:qFormat/>
    <w:rsid w:val="00764877"/>
    <w:rPr>
      <w:i/>
      <w:iCs/>
      <w:color w:val="000000" w:themeColor="text1"/>
    </w:rPr>
  </w:style>
  <w:style w:type="character" w:customStyle="1" w:styleId="QuoteChar">
    <w:name w:val="Quote Char"/>
    <w:basedOn w:val="DefaultParagraphFont"/>
    <w:link w:val="Quote"/>
    <w:uiPriority w:val="29"/>
    <w:semiHidden/>
    <w:rsid w:val="00764877"/>
    <w:rPr>
      <w:rFonts w:cs="Arial"/>
      <w:i/>
      <w:iCs/>
      <w:color w:val="000000" w:themeColor="text1"/>
    </w:rPr>
  </w:style>
  <w:style w:type="paragraph" w:styleId="IntenseQuote">
    <w:name w:val="Intense Quote"/>
    <w:basedOn w:val="Normal"/>
    <w:next w:val="Normal"/>
    <w:link w:val="IntenseQuoteChar"/>
    <w:uiPriority w:val="30"/>
    <w:semiHidden/>
    <w:qFormat/>
    <w:rsid w:val="007648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64877"/>
    <w:rPr>
      <w:rFonts w:cs="Arial"/>
      <w:b/>
      <w:bCs/>
      <w:i/>
      <w:iCs/>
      <w:color w:val="4F81BD" w:themeColor="accent1"/>
    </w:rPr>
  </w:style>
  <w:style w:type="character" w:styleId="SubtleEmphasis">
    <w:name w:val="Subtle Emphasis"/>
    <w:basedOn w:val="Heading4Char"/>
    <w:uiPriority w:val="19"/>
    <w:semiHidden/>
    <w:qFormat/>
    <w:rsid w:val="00764877"/>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semiHidden/>
    <w:qFormat/>
    <w:rsid w:val="00764877"/>
    <w:rPr>
      <w:b/>
      <w:bCs/>
      <w:i/>
      <w:iCs/>
      <w:color w:val="4F81BD" w:themeColor="accent1"/>
    </w:rPr>
  </w:style>
  <w:style w:type="character" w:styleId="SubtleReference">
    <w:name w:val="Subtle Reference"/>
    <w:basedOn w:val="DefaultParagraphFont"/>
    <w:uiPriority w:val="31"/>
    <w:semiHidden/>
    <w:qFormat/>
    <w:rsid w:val="00764877"/>
    <w:rPr>
      <w:smallCaps/>
      <w:color w:val="C0504D" w:themeColor="accent2"/>
      <w:u w:val="single"/>
    </w:rPr>
  </w:style>
  <w:style w:type="character" w:styleId="IntenseReference">
    <w:name w:val="Intense Reference"/>
    <w:basedOn w:val="DefaultParagraphFont"/>
    <w:uiPriority w:val="32"/>
    <w:semiHidden/>
    <w:qFormat/>
    <w:rsid w:val="00764877"/>
    <w:rPr>
      <w:b/>
      <w:bCs/>
      <w:smallCaps/>
      <w:color w:val="C0504D" w:themeColor="accent2"/>
      <w:spacing w:val="5"/>
      <w:u w:val="single"/>
    </w:rPr>
  </w:style>
  <w:style w:type="character" w:styleId="BookTitle">
    <w:name w:val="Book Title"/>
    <w:basedOn w:val="DefaultParagraphFont"/>
    <w:uiPriority w:val="33"/>
    <w:semiHidden/>
    <w:qFormat/>
    <w:rsid w:val="00764877"/>
    <w:rPr>
      <w:b/>
      <w:bCs/>
      <w:smallCaps/>
      <w:spacing w:val="5"/>
    </w:rPr>
  </w:style>
  <w:style w:type="paragraph" w:styleId="TOCHeading">
    <w:name w:val="TOC Heading"/>
    <w:basedOn w:val="Heading1"/>
    <w:next w:val="Normal"/>
    <w:uiPriority w:val="39"/>
    <w:semiHidden/>
    <w:unhideWhenUsed/>
    <w:qFormat/>
    <w:rsid w:val="00764877"/>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character" w:customStyle="1" w:styleId="ReportBodyChar">
    <w:name w:val="Report Body Char"/>
    <w:basedOn w:val="DefaultParagraphFont"/>
    <w:link w:val="ReportBody"/>
    <w:rsid w:val="00C11D7C"/>
    <w:rPr>
      <w:rFonts w:cs="Arial"/>
      <w:color w:val="000000"/>
      <w:kern w:val="22"/>
    </w:rPr>
  </w:style>
  <w:style w:type="paragraph" w:customStyle="1" w:styleId="BodyText1">
    <w:name w:val="Body Text1"/>
    <w:basedOn w:val="Normal"/>
    <w:rsid w:val="007718E9"/>
    <w:pPr>
      <w:spacing w:before="240" w:after="0" w:line="240" w:lineRule="auto"/>
    </w:pPr>
    <w:rPr>
      <w:rFonts w:ascii="Arial" w:hAnsi="Arial"/>
      <w:sz w:val="22"/>
      <w:szCs w:val="22"/>
      <w:lang w:val="en-US"/>
    </w:rPr>
  </w:style>
  <w:style w:type="paragraph" w:styleId="CommentSubject">
    <w:name w:val="annotation subject"/>
    <w:basedOn w:val="CommentText"/>
    <w:next w:val="CommentText"/>
    <w:link w:val="CommentSubjectChar"/>
    <w:semiHidden/>
    <w:unhideWhenUsed/>
    <w:rsid w:val="0031255D"/>
    <w:pPr>
      <w:spacing w:line="240" w:lineRule="auto"/>
    </w:pPr>
    <w:rPr>
      <w:b/>
      <w:bCs/>
    </w:rPr>
  </w:style>
  <w:style w:type="character" w:customStyle="1" w:styleId="CommentSubjectChar">
    <w:name w:val="Comment Subject Char"/>
    <w:basedOn w:val="CommentTextChar"/>
    <w:link w:val="CommentSubject"/>
    <w:semiHidden/>
    <w:rsid w:val="0031255D"/>
    <w:rPr>
      <w:rFonts w:ascii="Arial" w:hAnsi="Arial" w:cs="Arial"/>
      <w:b/>
      <w:bCs/>
      <w:lang w:val="en-US"/>
    </w:rPr>
  </w:style>
  <w:style w:type="character" w:customStyle="1" w:styleId="FooterChar">
    <w:name w:val="Footer Char"/>
    <w:basedOn w:val="DefaultParagraphFont"/>
    <w:link w:val="Footer"/>
    <w:uiPriority w:val="99"/>
    <w:rsid w:val="00C81E5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77"/>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64877"/>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64877"/>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64877"/>
    <w:pPr>
      <w:spacing w:after="120"/>
      <w:outlineLvl w:val="2"/>
    </w:pPr>
    <w:rPr>
      <w:bCs w:val="0"/>
      <w:sz w:val="24"/>
      <w:szCs w:val="26"/>
    </w:rPr>
  </w:style>
  <w:style w:type="paragraph" w:styleId="Heading4">
    <w:name w:val="heading 4"/>
    <w:basedOn w:val="Normal"/>
    <w:next w:val="Normal"/>
    <w:link w:val="Heading4Char"/>
    <w:qFormat/>
    <w:rsid w:val="00764877"/>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semiHidden/>
    <w:rsid w:val="003C61FB"/>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764877"/>
    <w:pPr>
      <w:outlineLvl w:val="5"/>
    </w:pPr>
  </w:style>
  <w:style w:type="paragraph" w:styleId="Heading7">
    <w:name w:val="heading 7"/>
    <w:basedOn w:val="Normal"/>
    <w:next w:val="Normal"/>
    <w:link w:val="Heading7Char"/>
    <w:semiHidden/>
    <w:qFormat/>
    <w:rsid w:val="00764877"/>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64877"/>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64877"/>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9B48E0"/>
    <w:rPr>
      <w:sz w:val="18"/>
      <w:szCs w:val="16"/>
      <w:lang w:eastAsia="x-none"/>
    </w:rPr>
  </w:style>
  <w:style w:type="paragraph" w:styleId="FootnoteText">
    <w:name w:val="footnote text"/>
    <w:basedOn w:val="footnote"/>
    <w:link w:val="FootnoteTextChar"/>
    <w:uiPriority w:val="99"/>
    <w:qFormat/>
    <w:rsid w:val="009B48E0"/>
    <w:rPr>
      <w:rFonts w:ascii="Verdana" w:hAnsi="Verdana" w:cs="Times New Roman"/>
      <w:sz w:val="18"/>
      <w:lang w:eastAsia="x-none"/>
    </w:rPr>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BF336B"/>
    <w:rPr>
      <w:rFonts w:ascii="Arial" w:hAnsi="Arial"/>
      <w:sz w:val="18"/>
      <w:lang w:val="x-none" w:eastAsia="en-GB" w:bidi="ar-SA"/>
    </w:rPr>
  </w:style>
  <w:style w:type="paragraph" w:styleId="Header">
    <w:name w:val="header"/>
    <w:basedOn w:val="Normal"/>
    <w:link w:val="HeaderChar"/>
    <w:semiHidden/>
    <w:rsid w:val="00BF336B"/>
    <w:pPr>
      <w:tabs>
        <w:tab w:val="center" w:pos="4513"/>
        <w:tab w:val="right" w:pos="9026"/>
      </w:tabs>
      <w:spacing w:after="0"/>
    </w:pPr>
    <w:rPr>
      <w:rFonts w:cs="Times New Roman"/>
      <w:sz w:val="18"/>
      <w:lang w:val="x-none" w:eastAsia="en-GB"/>
    </w:rPr>
  </w:style>
  <w:style w:type="paragraph" w:styleId="BodyText">
    <w:name w:val="Body Text"/>
    <w:basedOn w:val="Normal"/>
    <w:semiHidden/>
    <w:rsid w:val="00F36732"/>
  </w:style>
  <w:style w:type="paragraph" w:styleId="BodyText2">
    <w:name w:val="Body Text 2"/>
    <w:basedOn w:val="Normal"/>
    <w:semiHidden/>
    <w:rsid w:val="00F36732"/>
    <w:pPr>
      <w:spacing w:line="480" w:lineRule="auto"/>
    </w:pPr>
  </w:style>
  <w:style w:type="character" w:customStyle="1" w:styleId="Heading7Char">
    <w:name w:val="Heading 7 Char"/>
    <w:link w:val="Heading7"/>
    <w:semiHidden/>
    <w:rsid w:val="00764877"/>
    <w:rPr>
      <w:rFonts w:ascii="Arial" w:eastAsiaTheme="majorEastAsia" w:hAnsi="Arial" w:cs="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rsid w:val="00764877"/>
    <w:rPr>
      <w:rFonts w:eastAsiaTheme="majorEastAsia" w:cs="Arial"/>
      <w:bCs/>
      <w:i/>
      <w:sz w:val="22"/>
      <w:szCs w:val="22"/>
      <w:lang w:val="x-none" w:eastAsia="x-none"/>
    </w:rPr>
  </w:style>
  <w:style w:type="character" w:customStyle="1" w:styleId="Heading3Char">
    <w:name w:val="Heading 3 Char"/>
    <w:link w:val="Heading3"/>
    <w:rsid w:val="00764877"/>
    <w:rPr>
      <w:rFonts w:eastAsiaTheme="majorEastAsia" w:cs="Arial"/>
      <w:b/>
      <w:iCs/>
      <w:sz w:val="24"/>
      <w:szCs w:val="26"/>
    </w:rPr>
  </w:style>
  <w:style w:type="character" w:customStyle="1" w:styleId="Heading2Char">
    <w:name w:val="Heading 2 Char"/>
    <w:link w:val="Heading2"/>
    <w:rsid w:val="00764877"/>
    <w:rPr>
      <w:rFonts w:eastAsiaTheme="majorEastAsia" w:cs="Arial"/>
      <w:b/>
      <w:bCs/>
      <w:iCs/>
      <w:sz w:val="28"/>
      <w:szCs w:val="28"/>
    </w:rPr>
  </w:style>
  <w:style w:type="character" w:customStyle="1" w:styleId="Heading1Char">
    <w:name w:val="Heading 1 Char"/>
    <w:link w:val="Heading1"/>
    <w:rsid w:val="00764877"/>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semiHidden/>
    <w:rsid w:val="00F36732"/>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line="480" w:lineRule="auto"/>
      <w:ind w:left="283"/>
    </w:pPr>
  </w:style>
  <w:style w:type="numbering" w:customStyle="1" w:styleId="RecList">
    <w:name w:val="Rec List"/>
    <w:basedOn w:val="NoList"/>
    <w:rsid w:val="00525C5E"/>
  </w:style>
  <w:style w:type="paragraph" w:styleId="BodyTextIndent3">
    <w:name w:val="Body Text Indent 3"/>
    <w:basedOn w:val="Normal"/>
    <w:semiHidden/>
    <w:rsid w:val="00F36732"/>
    <w:pPr>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uiPriority w:val="4"/>
    <w:qFormat/>
    <w:rsid w:val="00764877"/>
    <w:pPr>
      <w:numPr>
        <w:numId w:val="18"/>
      </w:numPr>
      <w:spacing w:after="0" w:line="240" w:lineRule="auto"/>
    </w:pPr>
    <w:rPr>
      <w:lang w:eastAsia="en-US"/>
    </w:rPr>
  </w:style>
  <w:style w:type="paragraph" w:styleId="Footer">
    <w:name w:val="footer"/>
    <w:basedOn w:val="Normal"/>
    <w:link w:val="FooterChar"/>
    <w:uiPriority w:val="99"/>
    <w:rsid w:val="003C61FB"/>
    <w:pPr>
      <w:tabs>
        <w:tab w:val="center" w:pos="4320"/>
        <w:tab w:val="right" w:pos="8640"/>
      </w:tabs>
    </w:pPr>
  </w:style>
  <w:style w:type="paragraph" w:customStyle="1" w:styleId="FooterText">
    <w:name w:val="Footer Text"/>
    <w:basedOn w:val="Normal"/>
    <w:semiHidden/>
    <w:qFormat/>
    <w:rsid w:val="00764877"/>
    <w:pPr>
      <w:tabs>
        <w:tab w:val="center" w:pos="4513"/>
        <w:tab w:val="right" w:pos="9026"/>
      </w:tabs>
      <w:spacing w:after="0" w:line="240" w:lineRule="auto"/>
    </w:pPr>
    <w:rPr>
      <w:sz w:val="16"/>
      <w:szCs w:val="16"/>
    </w:rPr>
  </w:style>
  <w:style w:type="paragraph" w:customStyle="1" w:styleId="footnote">
    <w:name w:val="footnote"/>
    <w:basedOn w:val="Normal"/>
    <w:rsid w:val="00B61A5F"/>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uiPriority w:val="99"/>
    <w:rsid w:val="002F30F1"/>
    <w:rPr>
      <w:rFonts w:ascii="Arial" w:hAnsi="Arial"/>
      <w:sz w:val="18"/>
      <w:szCs w:val="16"/>
      <w:vertAlign w:val="superscript"/>
      <w:lang w:val="en-US" w:eastAsia="x-none" w:bidi="ar-SA"/>
    </w:rPr>
  </w:style>
  <w:style w:type="paragraph" w:customStyle="1" w:styleId="WorkshopName">
    <w:name w:val="Workshop Name"/>
    <w:basedOn w:val="Normal"/>
    <w:semiHidden/>
    <w:qFormat/>
    <w:locked/>
    <w:rsid w:val="00764877"/>
    <w:pPr>
      <w:spacing w:before="720" w:line="120" w:lineRule="atLeast"/>
      <w:ind w:left="397"/>
    </w:pPr>
    <w:rPr>
      <w:b/>
      <w:noProof/>
      <w:color w:val="007B85"/>
      <w:sz w:val="80"/>
      <w:szCs w:val="80"/>
    </w:rPr>
  </w:style>
  <w:style w:type="paragraph" w:customStyle="1" w:styleId="Bullet2">
    <w:name w:val="Bullet2"/>
    <w:uiPriority w:val="4"/>
    <w:qFormat/>
    <w:rsid w:val="00764877"/>
    <w:pPr>
      <w:numPr>
        <w:numId w:val="19"/>
      </w:numPr>
      <w:spacing w:before="120"/>
    </w:pPr>
    <w:rPr>
      <w:lang w:eastAsia="en-US"/>
    </w:rPr>
  </w:style>
  <w:style w:type="paragraph" w:customStyle="1" w:styleId="LogoStyle">
    <w:name w:val="Logo Style"/>
    <w:basedOn w:val="Normal"/>
    <w:semiHidden/>
    <w:rsid w:val="00525C5E"/>
    <w:pPr>
      <w:jc w:val="right"/>
    </w:pPr>
    <w:rPr>
      <w:rFonts w:cs="Times New Roman"/>
    </w:rPr>
  </w:style>
  <w:style w:type="paragraph" w:customStyle="1" w:styleId="ReportBody">
    <w:name w:val="Report Body"/>
    <w:basedOn w:val="Normal"/>
    <w:link w:val="ReportBodyChar"/>
    <w:qFormat/>
    <w:rsid w:val="00C11D7C"/>
    <w:pPr>
      <w:numPr>
        <w:numId w:val="22"/>
      </w:numPr>
      <w:suppressAutoHyphens w:val="0"/>
      <w:autoSpaceDE/>
      <w:autoSpaceDN/>
      <w:adjustRightInd/>
      <w:spacing w:line="240" w:lineRule="auto"/>
      <w:textAlignment w:val="auto"/>
    </w:pPr>
    <w:rPr>
      <w:color w:val="000000"/>
      <w:kern w:val="22"/>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uiPriority w:val="99"/>
    <w:semiHidden/>
    <w:rsid w:val="003C61FB"/>
    <w:rPr>
      <w:color w:val="0000FF"/>
      <w:u w:val="single"/>
    </w:rPr>
  </w:style>
  <w:style w:type="paragraph" w:customStyle="1" w:styleId="Introduction">
    <w:name w:val="Introduction"/>
    <w:basedOn w:val="Normal"/>
    <w:semiHidden/>
    <w:qFormat/>
    <w:locked/>
    <w:rsid w:val="00764877"/>
    <w:pPr>
      <w:tabs>
        <w:tab w:val="right" w:leader="dot" w:pos="9524"/>
      </w:tabs>
      <w:spacing w:before="440" w:after="200" w:line="320" w:lineRule="atLeast"/>
      <w:ind w:left="380" w:right="380"/>
    </w:pPr>
    <w:rPr>
      <w:color w:val="FFFFFF"/>
      <w:sz w:val="26"/>
      <w:szCs w:val="26"/>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style>
  <w:style w:type="paragraph" w:customStyle="1" w:styleId="fileref">
    <w:name w:val="file ref"/>
    <w:basedOn w:val="ReportBody"/>
    <w:semiHidden/>
    <w:rsid w:val="00517967"/>
    <w:pPr>
      <w:numPr>
        <w:numId w:val="0"/>
      </w:numPr>
    </w:pPr>
  </w:style>
  <w:style w:type="paragraph" w:customStyle="1" w:styleId="AgreeDisagree">
    <w:name w:val="Agree/Disagree"/>
    <w:basedOn w:val="Normal"/>
    <w:next w:val="RecNumber"/>
    <w:rsid w:val="00A463F4"/>
    <w:pPr>
      <w:jc w:val="right"/>
    </w:pPr>
    <w:rPr>
      <w:b/>
    </w:rPr>
  </w:style>
  <w:style w:type="paragraph" w:styleId="ListBullet4">
    <w:name w:val="List Bullet 4"/>
    <w:basedOn w:val="Normal"/>
    <w:semiHidden/>
    <w:rsid w:val="003C61FB"/>
    <w:pPr>
      <w:numPr>
        <w:numId w:val="7"/>
      </w:numPr>
    </w:pPr>
  </w:style>
  <w:style w:type="paragraph" w:styleId="ListBullet5">
    <w:name w:val="List Bullet 5"/>
    <w:basedOn w:val="Normal"/>
    <w:semiHidden/>
    <w:rsid w:val="003C61FB"/>
    <w:pPr>
      <w:numPr>
        <w:numId w:val="8"/>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9"/>
      </w:numPr>
    </w:pPr>
  </w:style>
  <w:style w:type="paragraph" w:styleId="ListNumber4">
    <w:name w:val="List Number 4"/>
    <w:basedOn w:val="Normal"/>
    <w:semiHidden/>
    <w:rsid w:val="003C61FB"/>
    <w:pPr>
      <w:numPr>
        <w:numId w:val="10"/>
      </w:numPr>
      <w:tabs>
        <w:tab w:val="clear" w:pos="1209"/>
        <w:tab w:val="num" w:pos="360"/>
      </w:tabs>
      <w:ind w:left="0" w:firstLine="0"/>
    </w:pPr>
  </w:style>
  <w:style w:type="paragraph" w:styleId="ListNumber5">
    <w:name w:val="List Number 5"/>
    <w:basedOn w:val="Normal"/>
    <w:semiHidden/>
    <w:rsid w:val="003C61FB"/>
    <w:pPr>
      <w:numPr>
        <w:numId w:val="11"/>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64877"/>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64877"/>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64877"/>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64877"/>
    <w:pPr>
      <w:spacing w:after="80"/>
      <w:ind w:left="438"/>
    </w:pPr>
    <w:rPr>
      <w:b/>
      <w:color w:val="007073"/>
      <w:sz w:val="16"/>
      <w:szCs w:val="16"/>
    </w:rPr>
  </w:style>
  <w:style w:type="paragraph" w:customStyle="1" w:styleId="ReportDate">
    <w:name w:val="Report Date"/>
    <w:basedOn w:val="Heading2"/>
    <w:semiHidden/>
    <w:qFormat/>
    <w:locked/>
    <w:rsid w:val="00764877"/>
    <w:pPr>
      <w:spacing w:line="240" w:lineRule="auto"/>
      <w:ind w:left="420"/>
    </w:pPr>
    <w:rPr>
      <w:caps/>
    </w:rPr>
  </w:style>
  <w:style w:type="paragraph" w:customStyle="1" w:styleId="ReportFooter">
    <w:name w:val="Report Footer"/>
    <w:basedOn w:val="Normal"/>
    <w:semiHidden/>
    <w:qFormat/>
    <w:rsid w:val="00764877"/>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64877"/>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C61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64877"/>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64877"/>
    <w:pPr>
      <w:pageBreakBefore/>
      <w:spacing w:before="1080" w:after="700" w:line="240" w:lineRule="auto"/>
      <w:outlineLvl w:val="0"/>
    </w:pPr>
    <w:rPr>
      <w:rFonts w:eastAsiaTheme="majorEastAsia"/>
      <w:b/>
      <w:bCs/>
      <w:color w:val="007B85"/>
      <w:sz w:val="28"/>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rPr>
  </w:style>
  <w:style w:type="paragraph" w:customStyle="1" w:styleId="TemplateTitle">
    <w:name w:val="_Template Title"/>
    <w:basedOn w:val="Normal"/>
    <w:next w:val="Normal"/>
    <w:semiHidden/>
    <w:qFormat/>
    <w:rsid w:val="00764877"/>
    <w:pPr>
      <w:tabs>
        <w:tab w:val="left" w:pos="1620"/>
        <w:tab w:val="left" w:pos="5940"/>
      </w:tabs>
      <w:spacing w:after="0" w:line="240" w:lineRule="auto"/>
    </w:pPr>
    <w:rPr>
      <w:rFonts w:ascii="Georgia" w:hAnsi="Georgia" w:cs="Calibri"/>
      <w:b/>
      <w:color w:val="999999"/>
      <w:sz w:val="52"/>
      <w:szCs w:val="96"/>
    </w:rPr>
  </w:style>
  <w:style w:type="paragraph" w:customStyle="1" w:styleId="StyleBodyTextArial14ptBoldAuto">
    <w:name w:val="Style Body Text + Arial 14 pt Bold Auto"/>
    <w:basedOn w:val="Normal"/>
    <w:semiHidden/>
    <w:rsid w:val="00F36732"/>
    <w:rPr>
      <w:rFonts w:cs="Times New Roman"/>
      <w:b/>
      <w:bCs/>
      <w:sz w:val="28"/>
      <w:lang w:val="x-none" w:eastAsia="en-GB"/>
    </w:rPr>
  </w:style>
  <w:style w:type="paragraph" w:customStyle="1" w:styleId="TemplateFooter">
    <w:name w:val="_Template Footer"/>
    <w:basedOn w:val="Footer"/>
    <w:semiHidden/>
    <w:qFormat/>
    <w:rsid w:val="00764877"/>
    <w:pPr>
      <w:ind w:right="360"/>
    </w:pPr>
    <w:rPr>
      <w:sz w:val="16"/>
      <w:szCs w:val="18"/>
    </w:rPr>
  </w:style>
  <w:style w:type="paragraph" w:customStyle="1" w:styleId="SignatureText">
    <w:name w:val="Signature Text"/>
    <w:basedOn w:val="BodyText"/>
    <w:semiHidden/>
    <w:rsid w:val="00525C5E"/>
    <w:pPr>
      <w:spacing w:after="0" w:line="240" w:lineRule="auto"/>
    </w:pPr>
  </w:style>
  <w:style w:type="paragraph" w:styleId="Date">
    <w:name w:val="Date"/>
    <w:basedOn w:val="Normal"/>
    <w:next w:val="Normal"/>
    <w:semiHidden/>
    <w:rsid w:val="004561BD"/>
  </w:style>
  <w:style w:type="character" w:styleId="Emphasis">
    <w:name w:val="Emphasis"/>
    <w:basedOn w:val="DefaultParagraphFont"/>
    <w:semiHidden/>
    <w:qFormat/>
    <w:rsid w:val="00764877"/>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561BD"/>
  </w:style>
  <w:style w:type="paragraph" w:styleId="ListBullet3">
    <w:name w:val="List Bullet 3"/>
    <w:basedOn w:val="Normal"/>
    <w:semiHidden/>
    <w:rsid w:val="004561BD"/>
    <w:pPr>
      <w:numPr>
        <w:numId w:val="6"/>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764877"/>
    <w:rPr>
      <w:b/>
      <w:bCs/>
    </w:rPr>
  </w:style>
  <w:style w:type="paragraph" w:styleId="Subtitle">
    <w:name w:val="Subtitle"/>
    <w:basedOn w:val="Normal"/>
    <w:link w:val="SubtitleChar"/>
    <w:semiHidden/>
    <w:qFormat/>
    <w:rsid w:val="00764877"/>
    <w:pPr>
      <w:spacing w:after="60"/>
      <w:jc w:val="center"/>
      <w:outlineLvl w:val="1"/>
    </w:pPr>
    <w:rPr>
      <w:rFonts w:eastAsiaTheme="majorEastAsia"/>
      <w:sz w:val="24"/>
      <w:szCs w:val="24"/>
    </w:rPr>
  </w:style>
  <w:style w:type="paragraph" w:styleId="Title">
    <w:name w:val="Title"/>
    <w:basedOn w:val="Normal"/>
    <w:link w:val="TitleChar"/>
    <w:semiHidden/>
    <w:qFormat/>
    <w:rsid w:val="00764877"/>
    <w:pPr>
      <w:spacing w:before="240" w:after="60"/>
      <w:jc w:val="center"/>
      <w:outlineLvl w:val="0"/>
    </w:pPr>
    <w:rPr>
      <w:rFonts w:eastAsiaTheme="majorEastAsia"/>
      <w:b/>
      <w:bCs/>
      <w:kern w:val="28"/>
      <w:sz w:val="32"/>
      <w:szCs w:val="32"/>
    </w:rPr>
  </w:style>
  <w:style w:type="paragraph" w:customStyle="1" w:styleId="RecNumber">
    <w:name w:val="Rec Number"/>
    <w:basedOn w:val="Normal"/>
    <w:rsid w:val="00525C5E"/>
    <w:pPr>
      <w:suppressAutoHyphens w:val="0"/>
      <w:autoSpaceDE/>
      <w:autoSpaceDN/>
      <w:adjustRightInd/>
      <w:spacing w:before="240" w:after="0" w:line="260" w:lineRule="exact"/>
      <w:jc w:val="both"/>
      <w:textAlignment w:val="auto"/>
    </w:pPr>
    <w:rPr>
      <w:rFonts w:ascii="Arial Mäori" w:hAnsi="Arial Mäori" w:cs="Times New Roman"/>
      <w:kern w:val="22"/>
      <w:lang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rPr>
      <w:b/>
      <w:bCs/>
      <w:sz w:val="24"/>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RecLevel2">
    <w:name w:val="Rec Level2"/>
    <w:basedOn w:val="RecLevel1"/>
    <w:qFormat/>
    <w:rsid w:val="003073E7"/>
    <w:pPr>
      <w:numPr>
        <w:ilvl w:val="1"/>
      </w:numPr>
      <w:ind w:left="1134" w:hanging="567"/>
    </w:pPr>
  </w:style>
  <w:style w:type="paragraph" w:customStyle="1" w:styleId="ReportBody2">
    <w:name w:val="Report Body 2"/>
    <w:basedOn w:val="ReportBody"/>
    <w:qFormat/>
    <w:rsid w:val="00764877"/>
    <w:pPr>
      <w:numPr>
        <w:ilvl w:val="1"/>
      </w:numPr>
    </w:pPr>
  </w:style>
  <w:style w:type="paragraph" w:customStyle="1" w:styleId="Minister">
    <w:name w:val="Minister"/>
    <w:basedOn w:val="Normal"/>
    <w:semiHidden/>
    <w:unhideWhenUsed/>
    <w:qFormat/>
    <w:rsid w:val="00764877"/>
    <w:pPr>
      <w:spacing w:after="0" w:line="240" w:lineRule="auto"/>
      <w:contextualSpacing/>
    </w:pPr>
  </w:style>
  <w:style w:type="paragraph" w:customStyle="1" w:styleId="Portfolio">
    <w:name w:val="Portfolio"/>
    <w:basedOn w:val="Minister"/>
    <w:semiHidden/>
    <w:unhideWhenUsed/>
    <w:qFormat/>
    <w:rsid w:val="00764877"/>
    <w:pPr>
      <w:spacing w:before="0"/>
    </w:pPr>
    <w:rPr>
      <w:rFonts w:ascii="Calibri" w:hAnsi="Calibri"/>
    </w:rPr>
  </w:style>
  <w:style w:type="paragraph" w:customStyle="1" w:styleId="TemplateTitleSub">
    <w:name w:val="_Template Title_Sub"/>
    <w:basedOn w:val="Normal"/>
    <w:semiHidden/>
    <w:qFormat/>
    <w:rsid w:val="00764877"/>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3073E7"/>
    <w:pPr>
      <w:numPr>
        <w:numId w:val="24"/>
      </w:numPr>
      <w:tabs>
        <w:tab w:val="left" w:pos="567"/>
      </w:tabs>
      <w:ind w:left="567" w:hanging="567"/>
    </w:pPr>
  </w:style>
  <w:style w:type="character" w:customStyle="1" w:styleId="RecLevel1Char">
    <w:name w:val="Rec Level1 Char"/>
    <w:basedOn w:val="DefaultParagraphFont"/>
    <w:link w:val="RecLevel1"/>
    <w:rsid w:val="003073E7"/>
    <w:rPr>
      <w:rFonts w:cs="Arial"/>
    </w:rPr>
  </w:style>
  <w:style w:type="character" w:customStyle="1" w:styleId="Heading6Char">
    <w:name w:val="Heading 6 Char"/>
    <w:basedOn w:val="DefaultParagraphFont"/>
    <w:link w:val="Heading6"/>
    <w:semiHidden/>
    <w:rsid w:val="00764877"/>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64877"/>
    <w:rPr>
      <w:rFonts w:eastAsiaTheme="majorEastAsia" w:cs="Arial"/>
      <w:i/>
      <w:iCs/>
      <w:sz w:val="16"/>
      <w:szCs w:val="24"/>
    </w:rPr>
  </w:style>
  <w:style w:type="character" w:customStyle="1" w:styleId="Heading9Char">
    <w:name w:val="Heading 9 Char"/>
    <w:basedOn w:val="DefaultParagraphFont"/>
    <w:link w:val="Heading9"/>
    <w:semiHidden/>
    <w:rsid w:val="00764877"/>
    <w:rPr>
      <w:rFonts w:eastAsiaTheme="majorEastAsia" w:cs="Arial"/>
      <w:sz w:val="16"/>
    </w:rPr>
  </w:style>
  <w:style w:type="character" w:customStyle="1" w:styleId="TitleChar">
    <w:name w:val="Title Char"/>
    <w:basedOn w:val="DefaultParagraphFont"/>
    <w:link w:val="Title"/>
    <w:semiHidden/>
    <w:rsid w:val="00764877"/>
    <w:rPr>
      <w:rFonts w:eastAsiaTheme="majorEastAsia" w:cs="Arial"/>
      <w:b/>
      <w:bCs/>
      <w:kern w:val="28"/>
      <w:sz w:val="32"/>
      <w:szCs w:val="32"/>
    </w:rPr>
  </w:style>
  <w:style w:type="character" w:customStyle="1" w:styleId="SubtitleChar">
    <w:name w:val="Subtitle Char"/>
    <w:basedOn w:val="DefaultParagraphFont"/>
    <w:link w:val="Subtitle"/>
    <w:semiHidden/>
    <w:rsid w:val="00764877"/>
    <w:rPr>
      <w:rFonts w:eastAsiaTheme="majorEastAsia" w:cs="Arial"/>
      <w:sz w:val="24"/>
      <w:szCs w:val="24"/>
    </w:rPr>
  </w:style>
  <w:style w:type="paragraph" w:styleId="NoSpacing">
    <w:name w:val="No Spacing"/>
    <w:basedOn w:val="BodyText"/>
    <w:uiPriority w:val="1"/>
    <w:semiHidden/>
    <w:qFormat/>
    <w:rsid w:val="00764877"/>
    <w:pPr>
      <w:spacing w:before="0" w:after="0" w:line="240" w:lineRule="auto"/>
    </w:pPr>
  </w:style>
  <w:style w:type="paragraph" w:styleId="ListParagraph">
    <w:name w:val="List Paragraph"/>
    <w:basedOn w:val="Normal"/>
    <w:uiPriority w:val="34"/>
    <w:qFormat/>
    <w:rsid w:val="00764877"/>
    <w:pPr>
      <w:ind w:left="720"/>
      <w:contextualSpacing/>
    </w:pPr>
  </w:style>
  <w:style w:type="paragraph" w:styleId="Quote">
    <w:name w:val="Quote"/>
    <w:basedOn w:val="Normal"/>
    <w:next w:val="Normal"/>
    <w:link w:val="QuoteChar"/>
    <w:uiPriority w:val="29"/>
    <w:semiHidden/>
    <w:qFormat/>
    <w:rsid w:val="00764877"/>
    <w:rPr>
      <w:i/>
      <w:iCs/>
      <w:color w:val="000000" w:themeColor="text1"/>
    </w:rPr>
  </w:style>
  <w:style w:type="character" w:customStyle="1" w:styleId="QuoteChar">
    <w:name w:val="Quote Char"/>
    <w:basedOn w:val="DefaultParagraphFont"/>
    <w:link w:val="Quote"/>
    <w:uiPriority w:val="29"/>
    <w:semiHidden/>
    <w:rsid w:val="00764877"/>
    <w:rPr>
      <w:rFonts w:cs="Arial"/>
      <w:i/>
      <w:iCs/>
      <w:color w:val="000000" w:themeColor="text1"/>
    </w:rPr>
  </w:style>
  <w:style w:type="paragraph" w:styleId="IntenseQuote">
    <w:name w:val="Intense Quote"/>
    <w:basedOn w:val="Normal"/>
    <w:next w:val="Normal"/>
    <w:link w:val="IntenseQuoteChar"/>
    <w:uiPriority w:val="30"/>
    <w:semiHidden/>
    <w:qFormat/>
    <w:rsid w:val="007648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64877"/>
    <w:rPr>
      <w:rFonts w:cs="Arial"/>
      <w:b/>
      <w:bCs/>
      <w:i/>
      <w:iCs/>
      <w:color w:val="4F81BD" w:themeColor="accent1"/>
    </w:rPr>
  </w:style>
  <w:style w:type="character" w:styleId="SubtleEmphasis">
    <w:name w:val="Subtle Emphasis"/>
    <w:basedOn w:val="Heading4Char"/>
    <w:uiPriority w:val="19"/>
    <w:semiHidden/>
    <w:qFormat/>
    <w:rsid w:val="00764877"/>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semiHidden/>
    <w:qFormat/>
    <w:rsid w:val="00764877"/>
    <w:rPr>
      <w:b/>
      <w:bCs/>
      <w:i/>
      <w:iCs/>
      <w:color w:val="4F81BD" w:themeColor="accent1"/>
    </w:rPr>
  </w:style>
  <w:style w:type="character" w:styleId="SubtleReference">
    <w:name w:val="Subtle Reference"/>
    <w:basedOn w:val="DefaultParagraphFont"/>
    <w:uiPriority w:val="31"/>
    <w:semiHidden/>
    <w:qFormat/>
    <w:rsid w:val="00764877"/>
    <w:rPr>
      <w:smallCaps/>
      <w:color w:val="C0504D" w:themeColor="accent2"/>
      <w:u w:val="single"/>
    </w:rPr>
  </w:style>
  <w:style w:type="character" w:styleId="IntenseReference">
    <w:name w:val="Intense Reference"/>
    <w:basedOn w:val="DefaultParagraphFont"/>
    <w:uiPriority w:val="32"/>
    <w:semiHidden/>
    <w:qFormat/>
    <w:rsid w:val="00764877"/>
    <w:rPr>
      <w:b/>
      <w:bCs/>
      <w:smallCaps/>
      <w:color w:val="C0504D" w:themeColor="accent2"/>
      <w:spacing w:val="5"/>
      <w:u w:val="single"/>
    </w:rPr>
  </w:style>
  <w:style w:type="character" w:styleId="BookTitle">
    <w:name w:val="Book Title"/>
    <w:basedOn w:val="DefaultParagraphFont"/>
    <w:uiPriority w:val="33"/>
    <w:semiHidden/>
    <w:qFormat/>
    <w:rsid w:val="00764877"/>
    <w:rPr>
      <w:b/>
      <w:bCs/>
      <w:smallCaps/>
      <w:spacing w:val="5"/>
    </w:rPr>
  </w:style>
  <w:style w:type="paragraph" w:styleId="TOCHeading">
    <w:name w:val="TOC Heading"/>
    <w:basedOn w:val="Heading1"/>
    <w:next w:val="Normal"/>
    <w:uiPriority w:val="39"/>
    <w:semiHidden/>
    <w:unhideWhenUsed/>
    <w:qFormat/>
    <w:rsid w:val="00764877"/>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character" w:customStyle="1" w:styleId="ReportBodyChar">
    <w:name w:val="Report Body Char"/>
    <w:basedOn w:val="DefaultParagraphFont"/>
    <w:link w:val="ReportBody"/>
    <w:rsid w:val="00C11D7C"/>
    <w:rPr>
      <w:rFonts w:cs="Arial"/>
      <w:color w:val="000000"/>
      <w:kern w:val="22"/>
    </w:rPr>
  </w:style>
  <w:style w:type="paragraph" w:customStyle="1" w:styleId="BodyText1">
    <w:name w:val="Body Text1"/>
    <w:basedOn w:val="Normal"/>
    <w:rsid w:val="007718E9"/>
    <w:pPr>
      <w:spacing w:before="240" w:after="0" w:line="240" w:lineRule="auto"/>
    </w:pPr>
    <w:rPr>
      <w:rFonts w:ascii="Arial" w:hAnsi="Arial"/>
      <w:sz w:val="22"/>
      <w:szCs w:val="22"/>
      <w:lang w:val="en-US"/>
    </w:rPr>
  </w:style>
  <w:style w:type="paragraph" w:styleId="CommentSubject">
    <w:name w:val="annotation subject"/>
    <w:basedOn w:val="CommentText"/>
    <w:next w:val="CommentText"/>
    <w:link w:val="CommentSubjectChar"/>
    <w:semiHidden/>
    <w:unhideWhenUsed/>
    <w:rsid w:val="0031255D"/>
    <w:pPr>
      <w:spacing w:line="240" w:lineRule="auto"/>
    </w:pPr>
    <w:rPr>
      <w:b/>
      <w:bCs/>
    </w:rPr>
  </w:style>
  <w:style w:type="character" w:customStyle="1" w:styleId="CommentSubjectChar">
    <w:name w:val="Comment Subject Char"/>
    <w:basedOn w:val="CommentTextChar"/>
    <w:link w:val="CommentSubject"/>
    <w:semiHidden/>
    <w:rsid w:val="0031255D"/>
    <w:rPr>
      <w:rFonts w:ascii="Arial" w:hAnsi="Arial" w:cs="Arial"/>
      <w:b/>
      <w:bCs/>
      <w:lang w:val="en-US"/>
    </w:rPr>
  </w:style>
  <w:style w:type="character" w:customStyle="1" w:styleId="FooterChar">
    <w:name w:val="Footer Char"/>
    <w:basedOn w:val="DefaultParagraphFont"/>
    <w:link w:val="Footer"/>
    <w:uiPriority w:val="99"/>
    <w:rsid w:val="00C81E5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389">
      <w:bodyDiv w:val="1"/>
      <w:marLeft w:val="0"/>
      <w:marRight w:val="0"/>
      <w:marTop w:val="0"/>
      <w:marBottom w:val="0"/>
      <w:divBdr>
        <w:top w:val="none" w:sz="0" w:space="0" w:color="auto"/>
        <w:left w:val="none" w:sz="0" w:space="0" w:color="auto"/>
        <w:bottom w:val="none" w:sz="0" w:space="0" w:color="auto"/>
        <w:right w:val="none" w:sz="0" w:space="0" w:color="auto"/>
      </w:divBdr>
    </w:div>
    <w:div w:id="1185948017">
      <w:bodyDiv w:val="1"/>
      <w:marLeft w:val="0"/>
      <w:marRight w:val="0"/>
      <w:marTop w:val="0"/>
      <w:marBottom w:val="0"/>
      <w:divBdr>
        <w:top w:val="none" w:sz="0" w:space="0" w:color="auto"/>
        <w:left w:val="none" w:sz="0" w:space="0" w:color="auto"/>
        <w:bottom w:val="none" w:sz="0" w:space="0" w:color="auto"/>
        <w:right w:val="none" w:sz="0" w:space="0" w:color="auto"/>
      </w:divBdr>
      <w:divsChild>
        <w:div w:id="89476787">
          <w:marLeft w:val="0"/>
          <w:marRight w:val="0"/>
          <w:marTop w:val="0"/>
          <w:marBottom w:val="0"/>
          <w:divBdr>
            <w:top w:val="none" w:sz="0" w:space="0" w:color="auto"/>
            <w:left w:val="none" w:sz="0" w:space="0" w:color="auto"/>
            <w:bottom w:val="none" w:sz="0" w:space="0" w:color="auto"/>
            <w:right w:val="none" w:sz="0" w:space="0" w:color="auto"/>
          </w:divBdr>
          <w:divsChild>
            <w:div w:id="1735855198">
              <w:marLeft w:val="0"/>
              <w:marRight w:val="0"/>
              <w:marTop w:val="0"/>
              <w:marBottom w:val="0"/>
              <w:divBdr>
                <w:top w:val="none" w:sz="0" w:space="0" w:color="auto"/>
                <w:left w:val="none" w:sz="0" w:space="0" w:color="auto"/>
                <w:bottom w:val="none" w:sz="0" w:space="0" w:color="auto"/>
                <w:right w:val="none" w:sz="0" w:space="0" w:color="auto"/>
              </w:divBdr>
              <w:divsChild>
                <w:div w:id="1874153293">
                  <w:marLeft w:val="0"/>
                  <w:marRight w:val="0"/>
                  <w:marTop w:val="0"/>
                  <w:marBottom w:val="0"/>
                  <w:divBdr>
                    <w:top w:val="none" w:sz="0" w:space="0" w:color="auto"/>
                    <w:left w:val="none" w:sz="0" w:space="0" w:color="auto"/>
                    <w:bottom w:val="none" w:sz="0" w:space="0" w:color="auto"/>
                    <w:right w:val="none" w:sz="0" w:space="0" w:color="auto"/>
                  </w:divBdr>
                  <w:divsChild>
                    <w:div w:id="498077370">
                      <w:marLeft w:val="0"/>
                      <w:marRight w:val="0"/>
                      <w:marTop w:val="0"/>
                      <w:marBottom w:val="0"/>
                      <w:divBdr>
                        <w:top w:val="none" w:sz="0" w:space="0" w:color="auto"/>
                        <w:left w:val="none" w:sz="0" w:space="0" w:color="auto"/>
                        <w:bottom w:val="none" w:sz="0" w:space="0" w:color="auto"/>
                        <w:right w:val="none" w:sz="0" w:space="0" w:color="auto"/>
                      </w:divBdr>
                      <w:divsChild>
                        <w:div w:id="794910844">
                          <w:marLeft w:val="0"/>
                          <w:marRight w:val="0"/>
                          <w:marTop w:val="0"/>
                          <w:marBottom w:val="0"/>
                          <w:divBdr>
                            <w:top w:val="none" w:sz="0" w:space="0" w:color="auto"/>
                            <w:left w:val="none" w:sz="0" w:space="0" w:color="auto"/>
                            <w:bottom w:val="none" w:sz="0" w:space="0" w:color="auto"/>
                            <w:right w:val="none" w:sz="0" w:space="0" w:color="auto"/>
                          </w:divBdr>
                          <w:divsChild>
                            <w:div w:id="8561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49014">
      <w:bodyDiv w:val="1"/>
      <w:marLeft w:val="0"/>
      <w:marRight w:val="0"/>
      <w:marTop w:val="0"/>
      <w:marBottom w:val="0"/>
      <w:divBdr>
        <w:top w:val="none" w:sz="0" w:space="0" w:color="auto"/>
        <w:left w:val="none" w:sz="0" w:space="0" w:color="auto"/>
        <w:bottom w:val="none" w:sz="0" w:space="0" w:color="auto"/>
        <w:right w:val="none" w:sz="0" w:space="0" w:color="auto"/>
      </w:divBdr>
    </w:div>
    <w:div w:id="2115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s.govt.nz/browse_for_stats/health/disabilities/He-haua-maori-findings-from-2013-disability-survey.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ats.govt.nz/browse_for_stats/health/disabilities/disability-and-labour-marke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s.govt.nz/browse_for_stats/health/disabilities/disability-survey-2013-additional-tables.aspx"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www.stats.govt.nz/browse_for_stats/health/disabilities.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stats.govt.nz/browse_for_stats/health/disabilities/disability-and-labour-market.aspx" TargetMode="External"/><Relationship Id="rId2" Type="http://schemas.openxmlformats.org/officeDocument/2006/relationships/hyperlink" Target="http://www.stats.govt.nz/browse_for_stats/health/disabilities/social-economic-outcomes-13.aspx" TargetMode="External"/><Relationship Id="rId1" Type="http://schemas.openxmlformats.org/officeDocument/2006/relationships/hyperlink" Target="http://www.stats.govt.nz/browse_for_stats/health/disabilities.aspx" TargetMode="External"/><Relationship Id="rId5" Type="http://schemas.openxmlformats.org/officeDocument/2006/relationships/hyperlink" Target="http://www.otago.ac.nz/wellington/otago069936.pdf" TargetMode="External"/><Relationship Id="rId4" Type="http://schemas.openxmlformats.org/officeDocument/2006/relationships/hyperlink" Target="http://www.stats.govt.nz/browse_for_stats/health/disabilities/He-haua-maori-findings-from-2013-disability-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D7F3-F4FE-43FB-B40D-2CBFBE7A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15</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Policy - Report</vt:lpstr>
    </vt:vector>
  </TitlesOfParts>
  <Company>Ministry Of Social Development</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Report</dc:title>
  <dc:creator>Catherine Brennan</dc:creator>
  <dc:description>Developed by Allfields Customised Solutions - Visit us at http://www.allfields.co.nz</dc:description>
  <cp:lastModifiedBy>Catherine Brennan</cp:lastModifiedBy>
  <cp:revision>70</cp:revision>
  <cp:lastPrinted>2016-05-16T04:32:00Z</cp:lastPrinted>
  <dcterms:created xsi:type="dcterms:W3CDTF">2016-05-24T03:31:00Z</dcterms:created>
  <dcterms:modified xsi:type="dcterms:W3CDTF">2016-09-29T19:55:00Z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A9191110</vt:lpwstr>
  </property>
  <property fmtid="{D5CDD505-2E9C-101B-9397-08002B2CF9AE}" pid="4" name="Objective-Title">
    <vt:lpwstr>2016 09 30 Report: Key issues for disabled people in New Zealand (final)</vt:lpwstr>
  </property>
  <property fmtid="{D5CDD505-2E9C-101B-9397-08002B2CF9AE}" pid="5" name="Objective-Comment">
    <vt:lpwstr/>
  </property>
  <property fmtid="{D5CDD505-2E9C-101B-9397-08002B2CF9AE}" pid="6" name="Objective-CreationStamp">
    <vt:filetime>2016-10-03T22:55:26Z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2017-08-30T04:57:15Z</vt:filetime>
  </property>
  <property fmtid="{D5CDD505-2E9C-101B-9397-08002B2CF9AE}" pid="10" name="Objective-ModificationStamp">
    <vt:filetime>2017-08-30T04:57:15Z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agencies:Statistics:ODI/Statistics NZ Working Group:Meetings of Disability Data and Evidence Working Group:2016:2016 10 October 5:Papers:</vt:lpwstr>
  </property>
  <property fmtid="{D5CDD505-2E9C-101B-9397-08002B2CF9AE}" pid="13" name="Objective-Parent">
    <vt:lpwstr>Papers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_AdHocReviewCycleID">
    <vt:i4>854156856</vt:i4>
  </property>
  <property fmtid="{D5CDD505-2E9C-101B-9397-08002B2CF9AE}" pid="24" name="_NewReviewCycle">
    <vt:lpwstr/>
  </property>
  <property fmtid="{D5CDD505-2E9C-101B-9397-08002B2CF9AE}" pid="25" name="_EmailSubject">
    <vt:lpwstr>Key issues for disabled people in New Zealand</vt:lpwstr>
  </property>
  <property fmtid="{D5CDD505-2E9C-101B-9397-08002B2CF9AE}" pid="26" name="_AuthorEmail">
    <vt:lpwstr>phillipa.o'brien@stats.govt.nz</vt:lpwstr>
  </property>
  <property fmtid="{D5CDD505-2E9C-101B-9397-08002B2CF9AE}" pid="27" name="_AuthorEmailDisplayName">
    <vt:lpwstr>Phillipa O'Brien</vt:lpwstr>
  </property>
  <property fmtid="{D5CDD505-2E9C-101B-9397-08002B2CF9AE}" pid="28" name="_ReviewingToolsShownOnce">
    <vt:lpwstr/>
  </property>
</Properties>
</file>