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F0010" w14:textId="77777777" w:rsidR="00B32277" w:rsidRPr="00B32277" w:rsidRDefault="00B32277" w:rsidP="00B32277">
      <w:pPr>
        <w:pStyle w:val="Heading1"/>
        <w:rPr>
          <w:rFonts w:eastAsia="Times New Roman"/>
          <w:lang w:eastAsia="en-NZ"/>
        </w:rPr>
      </w:pPr>
      <w:bookmarkStart w:id="0" w:name="_GoBack"/>
      <w:bookmarkEnd w:id="0"/>
      <w:r w:rsidRPr="00B32277">
        <w:rPr>
          <w:rFonts w:eastAsia="Times New Roman"/>
          <w:lang w:eastAsia="en-NZ"/>
        </w:rPr>
        <w:t>Step 6: Considering disability throughout implementation</w:t>
      </w:r>
    </w:p>
    <w:p w14:paraId="03F24713" w14:textId="77777777" w:rsidR="00B32277" w:rsidRPr="00B32277" w:rsidRDefault="00B32277" w:rsidP="00B32277">
      <w:pPr>
        <w:rPr>
          <w:rFonts w:ascii="Arial" w:hAnsi="Arial"/>
          <w:sz w:val="24"/>
          <w:szCs w:val="24"/>
          <w:lang w:eastAsia="en-NZ"/>
        </w:rPr>
      </w:pPr>
      <w:r w:rsidRPr="00B32277">
        <w:rPr>
          <w:rFonts w:ascii="Arial" w:hAnsi="Arial"/>
          <w:sz w:val="24"/>
          <w:szCs w:val="24"/>
          <w:lang w:eastAsia="en-NZ"/>
        </w:rPr>
        <w:t>In this step, you will consider how to implement your policy proposal(s) based on an understanding of disabled people’s requirements.</w:t>
      </w:r>
    </w:p>
    <w:p w14:paraId="009D5A01" w14:textId="77777777" w:rsidR="00B32277" w:rsidRPr="00B32277" w:rsidRDefault="00B32277" w:rsidP="00B32277">
      <w:pPr>
        <w:pStyle w:val="Heading2"/>
        <w:rPr>
          <w:lang w:eastAsia="en-NZ"/>
        </w:rPr>
      </w:pPr>
      <w:r w:rsidRPr="00B32277">
        <w:rPr>
          <w:lang w:eastAsia="en-NZ"/>
        </w:rPr>
        <w:t>Considering the impacts and barriers</w:t>
      </w:r>
    </w:p>
    <w:p w14:paraId="2F929163" w14:textId="77777777" w:rsidR="00B32277" w:rsidRPr="00B32277" w:rsidRDefault="00B32277" w:rsidP="00B32277">
      <w:pPr>
        <w:rPr>
          <w:rFonts w:ascii="Arial" w:hAnsi="Arial"/>
          <w:sz w:val="24"/>
          <w:szCs w:val="24"/>
          <w:lang w:eastAsia="en-NZ"/>
        </w:rPr>
      </w:pPr>
      <w:r w:rsidRPr="00B32277">
        <w:rPr>
          <w:rFonts w:ascii="Arial" w:hAnsi="Arial"/>
          <w:sz w:val="24"/>
          <w:szCs w:val="24"/>
          <w:lang w:eastAsia="en-NZ"/>
        </w:rPr>
        <w:t>Questions to consider at this step are:</w:t>
      </w:r>
    </w:p>
    <w:p w14:paraId="24E03F36" w14:textId="77777777" w:rsidR="00B32277" w:rsidRPr="00B32277" w:rsidRDefault="00B32277" w:rsidP="00B32277">
      <w:pPr>
        <w:pStyle w:val="ListParagraph"/>
        <w:numPr>
          <w:ilvl w:val="0"/>
          <w:numId w:val="35"/>
        </w:numPr>
        <w:rPr>
          <w:rFonts w:ascii="Arial" w:hAnsi="Arial"/>
          <w:sz w:val="24"/>
          <w:szCs w:val="24"/>
          <w:lang w:eastAsia="en-NZ"/>
        </w:rPr>
      </w:pPr>
      <w:r w:rsidRPr="00B32277">
        <w:rPr>
          <w:rFonts w:ascii="Arial" w:hAnsi="Arial"/>
          <w:sz w:val="24"/>
          <w:szCs w:val="24"/>
          <w:lang w:eastAsia="en-NZ"/>
        </w:rPr>
        <w:t>What are key inequalities that disabled people face in terms of their resources and access to resources (</w:t>
      </w:r>
      <w:proofErr w:type="gramStart"/>
      <w:r w:rsidRPr="00B32277">
        <w:rPr>
          <w:rFonts w:ascii="Arial" w:hAnsi="Arial"/>
          <w:sz w:val="24"/>
          <w:szCs w:val="24"/>
          <w:lang w:eastAsia="en-NZ"/>
        </w:rPr>
        <w:t>e.g.</w:t>
      </w:r>
      <w:proofErr w:type="gramEnd"/>
      <w:r w:rsidRPr="00B32277">
        <w:rPr>
          <w:rFonts w:ascii="Arial" w:hAnsi="Arial"/>
          <w:sz w:val="24"/>
          <w:szCs w:val="24"/>
          <w:lang w:eastAsia="en-NZ"/>
        </w:rPr>
        <w:t xml:space="preserve"> work, money, political power, security, education, access to </w:t>
      </w:r>
      <w:proofErr w:type="spellStart"/>
      <w:r w:rsidRPr="00B32277">
        <w:rPr>
          <w:rFonts w:ascii="Arial" w:hAnsi="Arial"/>
          <w:sz w:val="24"/>
          <w:szCs w:val="24"/>
          <w:lang w:eastAsia="en-NZ"/>
        </w:rPr>
        <w:t>built</w:t>
      </w:r>
      <w:proofErr w:type="spellEnd"/>
      <w:r w:rsidRPr="00B32277">
        <w:rPr>
          <w:rFonts w:ascii="Arial" w:hAnsi="Arial"/>
          <w:sz w:val="24"/>
          <w:szCs w:val="24"/>
          <w:lang w:eastAsia="en-NZ"/>
        </w:rPr>
        <w:t xml:space="preserve"> environment, information and services, time, health and wellbeing, etc.)?</w:t>
      </w:r>
    </w:p>
    <w:p w14:paraId="49E5BB18" w14:textId="77777777" w:rsidR="00B32277" w:rsidRPr="00B32277" w:rsidRDefault="00B32277" w:rsidP="00B32277">
      <w:pPr>
        <w:pStyle w:val="ListParagraph"/>
        <w:numPr>
          <w:ilvl w:val="0"/>
          <w:numId w:val="35"/>
        </w:numPr>
        <w:rPr>
          <w:rFonts w:ascii="Arial" w:hAnsi="Arial"/>
          <w:sz w:val="24"/>
          <w:szCs w:val="24"/>
          <w:lang w:eastAsia="en-NZ"/>
        </w:rPr>
      </w:pPr>
      <w:r w:rsidRPr="00B32277">
        <w:rPr>
          <w:rFonts w:ascii="Arial" w:hAnsi="Arial"/>
          <w:sz w:val="24"/>
          <w:szCs w:val="24"/>
          <w:lang w:eastAsia="en-NZ"/>
        </w:rPr>
        <w:t>What obstacles are there to participation by disabled people? For example, factors relating to location, hours, cost, and family support may deter or prevent disabled people from participating in and/or completing your intervention/service.</w:t>
      </w:r>
    </w:p>
    <w:p w14:paraId="0D4759F5" w14:textId="77777777" w:rsidR="00B32277" w:rsidRPr="00B32277" w:rsidRDefault="00B32277" w:rsidP="00B32277">
      <w:pPr>
        <w:pStyle w:val="ListParagraph"/>
        <w:numPr>
          <w:ilvl w:val="0"/>
          <w:numId w:val="35"/>
        </w:numPr>
        <w:rPr>
          <w:rFonts w:ascii="Arial" w:hAnsi="Arial"/>
          <w:sz w:val="24"/>
          <w:szCs w:val="24"/>
          <w:lang w:eastAsia="en-NZ"/>
        </w:rPr>
      </w:pPr>
      <w:r w:rsidRPr="00B32277">
        <w:rPr>
          <w:rFonts w:ascii="Arial" w:hAnsi="Arial"/>
          <w:sz w:val="24"/>
          <w:szCs w:val="24"/>
          <w:lang w:eastAsia="en-NZ"/>
        </w:rPr>
        <w:t>Is safety an issue? Can disabled people access your intervention/service safely? </w:t>
      </w:r>
      <w:hyperlink r:id="rId6" w:tooltip="Open external link" w:history="1">
        <w:r w:rsidRPr="00B32277">
          <w:rPr>
            <w:rFonts w:ascii="Arial" w:hAnsi="Arial"/>
            <w:color w:val="3344DD"/>
            <w:sz w:val="24"/>
            <w:szCs w:val="24"/>
            <w:u w:val="single"/>
            <w:lang w:eastAsia="en-NZ"/>
          </w:rPr>
          <w:t>See the MSD Accessibility Guide for more information </w:t>
        </w:r>
      </w:hyperlink>
      <w:r w:rsidRPr="00B32277">
        <w:rPr>
          <w:rFonts w:ascii="Arial" w:hAnsi="Arial"/>
          <w:sz w:val="24"/>
          <w:szCs w:val="24"/>
          <w:lang w:eastAsia="en-NZ"/>
        </w:rPr>
        <w:t>.</w:t>
      </w:r>
    </w:p>
    <w:p w14:paraId="0552B9B7" w14:textId="77777777" w:rsidR="00B32277" w:rsidRPr="00B32277" w:rsidRDefault="00B32277" w:rsidP="00B32277">
      <w:pPr>
        <w:rPr>
          <w:rFonts w:ascii="Arial" w:hAnsi="Arial"/>
          <w:sz w:val="24"/>
          <w:szCs w:val="24"/>
          <w:lang w:eastAsia="en-NZ"/>
        </w:rPr>
      </w:pPr>
      <w:r w:rsidRPr="00B32277">
        <w:rPr>
          <w:rFonts w:ascii="Arial" w:hAnsi="Arial"/>
          <w:sz w:val="24"/>
          <w:szCs w:val="24"/>
          <w:lang w:eastAsia="en-NZ"/>
        </w:rPr>
        <w:t>Keep in mind the impact your proposal may have on the financial support disabled people may be entitled to.</w:t>
      </w:r>
    </w:p>
    <w:p w14:paraId="51AB4D50" w14:textId="77777777" w:rsidR="00B32277" w:rsidRPr="00B32277" w:rsidRDefault="00B32277" w:rsidP="00B32277">
      <w:pPr>
        <w:rPr>
          <w:rFonts w:ascii="Arial" w:hAnsi="Arial"/>
          <w:sz w:val="24"/>
          <w:szCs w:val="24"/>
          <w:lang w:eastAsia="en-NZ"/>
        </w:rPr>
      </w:pPr>
      <w:r w:rsidRPr="00B32277">
        <w:rPr>
          <w:rFonts w:ascii="Arial" w:hAnsi="Arial"/>
          <w:sz w:val="24"/>
          <w:szCs w:val="24"/>
          <w:lang w:eastAsia="en-NZ"/>
        </w:rPr>
        <w:t>It is also important to consider that work and leadership roles are commonly biased towards non-disabled people, which can have implications for decision-making and access to resources.</w:t>
      </w:r>
    </w:p>
    <w:p w14:paraId="33C1D9DE" w14:textId="77777777" w:rsidR="00B32277" w:rsidRPr="00B32277" w:rsidRDefault="00B32277" w:rsidP="00B32277">
      <w:pPr>
        <w:rPr>
          <w:rFonts w:ascii="Arial" w:hAnsi="Arial"/>
          <w:sz w:val="24"/>
          <w:szCs w:val="24"/>
          <w:lang w:eastAsia="en-NZ"/>
        </w:rPr>
      </w:pPr>
      <w:r w:rsidRPr="00B32277">
        <w:rPr>
          <w:rFonts w:ascii="Arial" w:hAnsi="Arial"/>
          <w:sz w:val="24"/>
          <w:szCs w:val="24"/>
          <w:lang w:eastAsia="en-NZ"/>
        </w:rPr>
        <w:t>Unconscious and conscious bias against disabled people plays out at all levels of society and it is important to be aware of these.</w:t>
      </w:r>
    </w:p>
    <w:p w14:paraId="2ECFF164" w14:textId="77777777" w:rsidR="00B32277" w:rsidRPr="00B32277" w:rsidRDefault="00B32277" w:rsidP="00B32277">
      <w:pPr>
        <w:pStyle w:val="Heading3"/>
        <w:rPr>
          <w:lang w:eastAsia="en-NZ"/>
        </w:rPr>
      </w:pPr>
      <w:r w:rsidRPr="00B32277">
        <w:rPr>
          <w:lang w:eastAsia="en-NZ"/>
        </w:rPr>
        <w:t>Non-discrimination and equality</w:t>
      </w:r>
    </w:p>
    <w:p w14:paraId="7A6C57B3" w14:textId="77777777" w:rsidR="00B32277" w:rsidRPr="00B32277" w:rsidRDefault="00B32277" w:rsidP="00B32277">
      <w:pPr>
        <w:rPr>
          <w:rFonts w:ascii="Arial" w:hAnsi="Arial"/>
          <w:sz w:val="24"/>
          <w:szCs w:val="24"/>
          <w:lang w:eastAsia="en-NZ"/>
        </w:rPr>
      </w:pPr>
      <w:r w:rsidRPr="00B32277">
        <w:rPr>
          <w:rFonts w:ascii="Arial" w:hAnsi="Arial"/>
          <w:sz w:val="24"/>
          <w:szCs w:val="24"/>
          <w:lang w:eastAsia="en-NZ"/>
        </w:rPr>
        <w:t xml:space="preserve">Discrimination is often thought of as creating a distinction and treating certain people differently. Under national human rights law, not all distinctions are considered discriminatory. Discriminatory distinctions under human rights law are those that impose burdens, barriers, </w:t>
      </w:r>
      <w:proofErr w:type="gramStart"/>
      <w:r w:rsidRPr="00B32277">
        <w:rPr>
          <w:rFonts w:ascii="Arial" w:hAnsi="Arial"/>
          <w:sz w:val="24"/>
          <w:szCs w:val="24"/>
          <w:lang w:eastAsia="en-NZ"/>
        </w:rPr>
        <w:t>obligations</w:t>
      </w:r>
      <w:proofErr w:type="gramEnd"/>
      <w:r w:rsidRPr="00B32277">
        <w:rPr>
          <w:rFonts w:ascii="Arial" w:hAnsi="Arial"/>
          <w:sz w:val="24"/>
          <w:szCs w:val="24"/>
          <w:lang w:eastAsia="en-NZ"/>
        </w:rPr>
        <w:t xml:space="preserve"> or disadvantages on individuals who are members of groups protected by the prohibited grounds of discrimination (which include disability).</w:t>
      </w:r>
    </w:p>
    <w:p w14:paraId="296D6E15" w14:textId="77777777" w:rsidR="00B32277" w:rsidRPr="00B32277" w:rsidRDefault="00B32277" w:rsidP="00B32277">
      <w:pPr>
        <w:rPr>
          <w:rFonts w:ascii="Arial" w:hAnsi="Arial"/>
          <w:sz w:val="24"/>
          <w:szCs w:val="24"/>
          <w:lang w:eastAsia="en-NZ"/>
        </w:rPr>
      </w:pPr>
      <w:r w:rsidRPr="00B32277">
        <w:rPr>
          <w:rFonts w:ascii="Arial" w:hAnsi="Arial"/>
          <w:sz w:val="24"/>
          <w:szCs w:val="24"/>
          <w:lang w:eastAsia="en-NZ"/>
        </w:rPr>
        <w:t xml:space="preserve">Where people require different treatment to achieve equity, offering this treatment is a distinction that is considered non-discriminatory as the failure to provide the treatment can impose burdens, barriers, </w:t>
      </w:r>
      <w:proofErr w:type="gramStart"/>
      <w:r w:rsidRPr="00B32277">
        <w:rPr>
          <w:rFonts w:ascii="Arial" w:hAnsi="Arial"/>
          <w:sz w:val="24"/>
          <w:szCs w:val="24"/>
          <w:lang w:eastAsia="en-NZ"/>
        </w:rPr>
        <w:t>obligations</w:t>
      </w:r>
      <w:proofErr w:type="gramEnd"/>
      <w:r w:rsidRPr="00B32277">
        <w:rPr>
          <w:rFonts w:ascii="Arial" w:hAnsi="Arial"/>
          <w:sz w:val="24"/>
          <w:szCs w:val="24"/>
          <w:lang w:eastAsia="en-NZ"/>
        </w:rPr>
        <w:t xml:space="preserve"> or disadvantages.</w:t>
      </w:r>
    </w:p>
    <w:p w14:paraId="6624DF70" w14:textId="77777777" w:rsidR="00B32277" w:rsidRPr="00B32277" w:rsidRDefault="00B32277" w:rsidP="00B32277">
      <w:pPr>
        <w:rPr>
          <w:rFonts w:ascii="Arial" w:hAnsi="Arial"/>
          <w:sz w:val="24"/>
          <w:szCs w:val="24"/>
          <w:lang w:eastAsia="en-NZ"/>
        </w:rPr>
      </w:pPr>
      <w:r w:rsidRPr="00B32277">
        <w:rPr>
          <w:rFonts w:ascii="Arial" w:hAnsi="Arial"/>
          <w:sz w:val="24"/>
          <w:szCs w:val="24"/>
          <w:lang w:eastAsia="en-NZ"/>
        </w:rPr>
        <w:t xml:space="preserve">This central principle, that treating people equitably does not necessarily mean treating them the same, is particularly relevant to disabled people. This approach </w:t>
      </w:r>
      <w:r w:rsidRPr="00B32277">
        <w:rPr>
          <w:rFonts w:ascii="Arial" w:hAnsi="Arial"/>
          <w:sz w:val="24"/>
          <w:szCs w:val="24"/>
          <w:lang w:eastAsia="en-NZ"/>
        </w:rPr>
        <w:lastRenderedPageBreak/>
        <w:t xml:space="preserve">can also be phrased as having equitable opportunity to access a service, </w:t>
      </w:r>
      <w:proofErr w:type="gramStart"/>
      <w:r w:rsidRPr="00B32277">
        <w:rPr>
          <w:rFonts w:ascii="Arial" w:hAnsi="Arial"/>
          <w:sz w:val="24"/>
          <w:szCs w:val="24"/>
          <w:lang w:eastAsia="en-NZ"/>
        </w:rPr>
        <w:t>information</w:t>
      </w:r>
      <w:proofErr w:type="gramEnd"/>
      <w:r w:rsidRPr="00B32277">
        <w:rPr>
          <w:rFonts w:ascii="Arial" w:hAnsi="Arial"/>
          <w:sz w:val="24"/>
          <w:szCs w:val="24"/>
          <w:lang w:eastAsia="en-NZ"/>
        </w:rPr>
        <w:t xml:space="preserve"> or a physical place.</w:t>
      </w:r>
    </w:p>
    <w:p w14:paraId="2F9CB44A" w14:textId="77777777" w:rsidR="00B32277" w:rsidRPr="00B32277" w:rsidRDefault="00B32277" w:rsidP="00B32277">
      <w:pPr>
        <w:rPr>
          <w:rFonts w:ascii="Arial" w:hAnsi="Arial"/>
          <w:sz w:val="24"/>
          <w:szCs w:val="24"/>
          <w:lang w:eastAsia="en-NZ"/>
        </w:rPr>
      </w:pPr>
      <w:r w:rsidRPr="00B32277">
        <w:rPr>
          <w:rFonts w:ascii="Arial" w:hAnsi="Arial"/>
          <w:sz w:val="24"/>
          <w:szCs w:val="24"/>
          <w:lang w:eastAsia="en-NZ"/>
        </w:rPr>
        <w:t>Most non-discrimination provisions are about what not to do, rather than requiring positive action. However, non-discrimination in relation to disability sometimes requires some positive provision. This is acknowledged in the Human Rights Act 1993, through a stipulation that any affirmative or proactive measures needed to ensure equal participation for disabled people, or needed to eliminate systemic discrimination, must be reasonable.</w:t>
      </w:r>
    </w:p>
    <w:p w14:paraId="29BD443D" w14:textId="77777777" w:rsidR="00B32277" w:rsidRPr="00B32277" w:rsidRDefault="00B32277" w:rsidP="00B32277">
      <w:pPr>
        <w:pStyle w:val="Heading2"/>
        <w:rPr>
          <w:lang w:eastAsia="en-NZ"/>
        </w:rPr>
      </w:pPr>
      <w:r w:rsidRPr="00B32277">
        <w:rPr>
          <w:lang w:eastAsia="en-NZ"/>
        </w:rPr>
        <w:t>Keeping the community informed </w:t>
      </w:r>
    </w:p>
    <w:p w14:paraId="5CEFAB54" w14:textId="77777777" w:rsidR="00B32277" w:rsidRPr="00B32277" w:rsidRDefault="00B32277" w:rsidP="00B32277">
      <w:pPr>
        <w:rPr>
          <w:rFonts w:ascii="Arial" w:hAnsi="Arial"/>
          <w:sz w:val="24"/>
          <w:szCs w:val="24"/>
          <w:lang w:eastAsia="en-NZ"/>
        </w:rPr>
      </w:pPr>
      <w:r w:rsidRPr="00B32277">
        <w:rPr>
          <w:rFonts w:ascii="Arial" w:hAnsi="Arial"/>
          <w:sz w:val="24"/>
          <w:szCs w:val="24"/>
          <w:lang w:eastAsia="en-NZ"/>
        </w:rPr>
        <w:t>Sometimes the most effective communication is for government to use key influencers and access their help to get messages out.</w:t>
      </w:r>
    </w:p>
    <w:p w14:paraId="718CA72E" w14:textId="77777777" w:rsidR="00B32277" w:rsidRPr="00B32277" w:rsidRDefault="00B32277" w:rsidP="00B32277">
      <w:pPr>
        <w:rPr>
          <w:rFonts w:ascii="Arial" w:hAnsi="Arial"/>
          <w:sz w:val="24"/>
          <w:szCs w:val="24"/>
          <w:lang w:eastAsia="en-NZ"/>
        </w:rPr>
      </w:pPr>
      <w:r w:rsidRPr="00B32277">
        <w:rPr>
          <w:rFonts w:ascii="Arial" w:hAnsi="Arial"/>
          <w:sz w:val="24"/>
          <w:szCs w:val="24"/>
          <w:lang w:eastAsia="en-NZ"/>
        </w:rPr>
        <w:t>Key influencers include:</w:t>
      </w:r>
    </w:p>
    <w:p w14:paraId="3BF67E9B" w14:textId="77777777" w:rsidR="00B32277" w:rsidRPr="00B32277" w:rsidRDefault="00B32277" w:rsidP="00B32277">
      <w:pPr>
        <w:pStyle w:val="ListParagraph"/>
        <w:numPr>
          <w:ilvl w:val="0"/>
          <w:numId w:val="36"/>
        </w:numPr>
        <w:rPr>
          <w:rFonts w:ascii="Arial" w:hAnsi="Arial"/>
          <w:sz w:val="24"/>
          <w:szCs w:val="24"/>
          <w:lang w:eastAsia="en-NZ"/>
        </w:rPr>
      </w:pPr>
      <w:hyperlink r:id="rId7" w:history="1">
        <w:r w:rsidRPr="00B32277">
          <w:rPr>
            <w:rFonts w:ascii="Arial" w:hAnsi="Arial"/>
            <w:color w:val="3344DD"/>
            <w:sz w:val="24"/>
            <w:szCs w:val="24"/>
            <w:u w:val="single"/>
            <w:lang w:eastAsia="en-NZ"/>
          </w:rPr>
          <w:t>The Disabled People's Organisation (DPO) Coalition</w:t>
        </w:r>
      </w:hyperlink>
    </w:p>
    <w:p w14:paraId="7A63D38D" w14:textId="77777777" w:rsidR="00B32277" w:rsidRPr="00B32277" w:rsidRDefault="00B32277" w:rsidP="00B32277">
      <w:pPr>
        <w:pStyle w:val="ListParagraph"/>
        <w:numPr>
          <w:ilvl w:val="0"/>
          <w:numId w:val="36"/>
        </w:numPr>
        <w:rPr>
          <w:rFonts w:ascii="Arial" w:hAnsi="Arial"/>
          <w:sz w:val="24"/>
          <w:szCs w:val="24"/>
          <w:lang w:eastAsia="en-NZ"/>
        </w:rPr>
      </w:pPr>
      <w:hyperlink r:id="rId8" w:tooltip="Open external link" w:history="1">
        <w:r w:rsidRPr="00B32277">
          <w:rPr>
            <w:rFonts w:ascii="Arial" w:hAnsi="Arial"/>
            <w:color w:val="3344DD"/>
            <w:sz w:val="24"/>
            <w:szCs w:val="24"/>
            <w:u w:val="single"/>
            <w:lang w:eastAsia="en-NZ"/>
          </w:rPr>
          <w:t>The Disability Rights Commissioner</w:t>
        </w:r>
      </w:hyperlink>
    </w:p>
    <w:p w14:paraId="62B7C0DB" w14:textId="77777777" w:rsidR="00B32277" w:rsidRPr="00B32277" w:rsidRDefault="00B32277" w:rsidP="00B32277">
      <w:pPr>
        <w:pStyle w:val="ListParagraph"/>
        <w:numPr>
          <w:ilvl w:val="0"/>
          <w:numId w:val="36"/>
        </w:numPr>
        <w:rPr>
          <w:rFonts w:ascii="Arial" w:hAnsi="Arial"/>
          <w:sz w:val="24"/>
          <w:szCs w:val="24"/>
          <w:lang w:eastAsia="en-NZ"/>
        </w:rPr>
      </w:pPr>
      <w:hyperlink r:id="rId9" w:tooltip="Open external link" w:history="1">
        <w:r w:rsidRPr="00B32277">
          <w:rPr>
            <w:rFonts w:ascii="Arial" w:hAnsi="Arial"/>
            <w:color w:val="3344DD"/>
            <w:sz w:val="24"/>
            <w:szCs w:val="24"/>
            <w:u w:val="single"/>
            <w:lang w:eastAsia="en-NZ"/>
          </w:rPr>
          <w:t>The Office of the Ombudsman</w:t>
        </w:r>
      </w:hyperlink>
    </w:p>
    <w:p w14:paraId="3E6E7C7B" w14:textId="77777777" w:rsidR="00B32277" w:rsidRPr="00B32277" w:rsidRDefault="00B32277" w:rsidP="00B32277">
      <w:pPr>
        <w:pStyle w:val="ListParagraph"/>
        <w:numPr>
          <w:ilvl w:val="0"/>
          <w:numId w:val="36"/>
        </w:numPr>
        <w:rPr>
          <w:rFonts w:ascii="Arial" w:hAnsi="Arial"/>
          <w:sz w:val="24"/>
          <w:szCs w:val="24"/>
          <w:lang w:eastAsia="en-NZ"/>
        </w:rPr>
      </w:pPr>
      <w:hyperlink r:id="rId10" w:history="1">
        <w:r w:rsidRPr="00B32277">
          <w:rPr>
            <w:rFonts w:ascii="Arial" w:hAnsi="Arial"/>
            <w:color w:val="3344DD"/>
            <w:sz w:val="24"/>
            <w:szCs w:val="24"/>
            <w:u w:val="single"/>
            <w:lang w:eastAsia="en-NZ"/>
          </w:rPr>
          <w:t>The Office for Disability Issues</w:t>
        </w:r>
      </w:hyperlink>
    </w:p>
    <w:p w14:paraId="2FAA5C3E" w14:textId="77777777" w:rsidR="00B32277" w:rsidRPr="00B32277" w:rsidRDefault="00B32277" w:rsidP="00B32277">
      <w:pPr>
        <w:pStyle w:val="ListParagraph"/>
        <w:numPr>
          <w:ilvl w:val="0"/>
          <w:numId w:val="36"/>
        </w:numPr>
        <w:rPr>
          <w:rFonts w:ascii="Arial" w:hAnsi="Arial"/>
          <w:sz w:val="24"/>
          <w:szCs w:val="24"/>
          <w:lang w:eastAsia="en-NZ"/>
        </w:rPr>
      </w:pPr>
      <w:hyperlink r:id="rId11" w:tooltip="Open external link" w:history="1">
        <w:proofErr w:type="spellStart"/>
        <w:r w:rsidRPr="00B32277">
          <w:rPr>
            <w:rFonts w:ascii="Arial" w:hAnsi="Arial"/>
            <w:color w:val="3344DD"/>
            <w:sz w:val="24"/>
            <w:szCs w:val="24"/>
            <w:u w:val="single"/>
            <w:lang w:eastAsia="en-NZ"/>
          </w:rPr>
          <w:t>I.Lead</w:t>
        </w:r>
        <w:proofErr w:type="spellEnd"/>
      </w:hyperlink>
    </w:p>
    <w:p w14:paraId="35A17D08" w14:textId="77777777" w:rsidR="00B32277" w:rsidRPr="00B32277" w:rsidRDefault="00B32277" w:rsidP="00B32277">
      <w:pPr>
        <w:pStyle w:val="ListParagraph"/>
        <w:numPr>
          <w:ilvl w:val="0"/>
          <w:numId w:val="36"/>
        </w:numPr>
        <w:rPr>
          <w:rFonts w:ascii="Arial" w:hAnsi="Arial"/>
          <w:sz w:val="24"/>
          <w:szCs w:val="24"/>
          <w:lang w:eastAsia="en-NZ"/>
        </w:rPr>
      </w:pPr>
      <w:r w:rsidRPr="00B32277">
        <w:rPr>
          <w:rFonts w:ascii="Arial" w:hAnsi="Arial"/>
          <w:sz w:val="24"/>
          <w:szCs w:val="24"/>
          <w:lang w:eastAsia="en-NZ"/>
        </w:rPr>
        <w:t>Community leaders</w:t>
      </w:r>
    </w:p>
    <w:p w14:paraId="0F4672D4" w14:textId="77777777" w:rsidR="00B32277" w:rsidRPr="00B32277" w:rsidRDefault="00B32277" w:rsidP="00B32277">
      <w:pPr>
        <w:pStyle w:val="Heading2"/>
        <w:rPr>
          <w:lang w:eastAsia="en-NZ"/>
        </w:rPr>
      </w:pPr>
      <w:r w:rsidRPr="00B32277">
        <w:rPr>
          <w:lang w:eastAsia="en-NZ"/>
        </w:rPr>
        <w:t>Consider whether additional implementation actions are needed for different sub-groups of disabled people</w:t>
      </w:r>
    </w:p>
    <w:p w14:paraId="1CAFD71B" w14:textId="77777777" w:rsidR="00B32277" w:rsidRPr="00B32277" w:rsidRDefault="00B32277" w:rsidP="00B32277">
      <w:pPr>
        <w:rPr>
          <w:rFonts w:ascii="Arial" w:hAnsi="Arial"/>
          <w:sz w:val="24"/>
          <w:szCs w:val="24"/>
          <w:lang w:eastAsia="en-NZ"/>
        </w:rPr>
      </w:pPr>
      <w:r w:rsidRPr="00B32277">
        <w:rPr>
          <w:rFonts w:ascii="Arial" w:hAnsi="Arial"/>
          <w:sz w:val="24"/>
          <w:szCs w:val="24"/>
          <w:lang w:eastAsia="en-NZ"/>
        </w:rPr>
        <w:t>Ensure that where appropriate, communications and information are in alternate formats suitable for all. See the </w:t>
      </w:r>
      <w:hyperlink r:id="rId12" w:tooltip="Open external link" w:history="1">
        <w:r w:rsidRPr="00B32277">
          <w:rPr>
            <w:rFonts w:ascii="Arial" w:hAnsi="Arial"/>
            <w:color w:val="3344DD"/>
            <w:sz w:val="24"/>
            <w:szCs w:val="24"/>
            <w:u w:val="single"/>
            <w:lang w:eastAsia="en-NZ"/>
          </w:rPr>
          <w:t>Accessibility Charter </w:t>
        </w:r>
      </w:hyperlink>
      <w:r w:rsidRPr="00B32277">
        <w:rPr>
          <w:rFonts w:ascii="Arial" w:hAnsi="Arial"/>
          <w:sz w:val="24"/>
          <w:szCs w:val="24"/>
          <w:lang w:eastAsia="en-NZ"/>
        </w:rPr>
        <w:t>and the </w:t>
      </w:r>
      <w:hyperlink r:id="rId13" w:tgtFrame="_blank" w:tooltip="Open external link" w:history="1">
        <w:r w:rsidRPr="00B32277">
          <w:rPr>
            <w:rFonts w:ascii="Arial" w:hAnsi="Arial"/>
            <w:color w:val="3344DD"/>
            <w:sz w:val="24"/>
            <w:szCs w:val="24"/>
            <w:u w:val="single"/>
            <w:lang w:eastAsia="en-NZ"/>
          </w:rPr>
          <w:t>Accessibility Guide </w:t>
        </w:r>
      </w:hyperlink>
      <w:r w:rsidRPr="00B32277">
        <w:rPr>
          <w:rFonts w:ascii="Arial" w:hAnsi="Arial"/>
          <w:sz w:val="24"/>
          <w:szCs w:val="24"/>
          <w:lang w:eastAsia="en-NZ"/>
        </w:rPr>
        <w:t>.</w:t>
      </w:r>
    </w:p>
    <w:p w14:paraId="6E99CC0C" w14:textId="77777777" w:rsidR="00F829F6" w:rsidRPr="00F113EF" w:rsidRDefault="00F829F6" w:rsidP="00F113EF"/>
    <w:sectPr w:rsidR="00F829F6" w:rsidRPr="00F11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4237D"/>
    <w:multiLevelType w:val="hybridMultilevel"/>
    <w:tmpl w:val="7764D7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981192"/>
    <w:multiLevelType w:val="multilevel"/>
    <w:tmpl w:val="6066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4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01839"/>
    <w:multiLevelType w:val="multilevel"/>
    <w:tmpl w:val="DA98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42D5788"/>
    <w:multiLevelType w:val="hybridMultilevel"/>
    <w:tmpl w:val="A0B499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7"/>
  </w:num>
  <w:num w:numId="7">
    <w:abstractNumId w:val="24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3"/>
  </w:num>
  <w:num w:numId="12">
    <w:abstractNumId w:val="9"/>
  </w:num>
  <w:num w:numId="13">
    <w:abstractNumId w:val="11"/>
  </w:num>
  <w:num w:numId="14">
    <w:abstractNumId w:val="21"/>
  </w:num>
  <w:num w:numId="15">
    <w:abstractNumId w:val="14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28"/>
  </w:num>
  <w:num w:numId="26">
    <w:abstractNumId w:val="29"/>
  </w:num>
  <w:num w:numId="27">
    <w:abstractNumId w:val="26"/>
  </w:num>
  <w:num w:numId="28">
    <w:abstractNumId w:val="19"/>
  </w:num>
  <w:num w:numId="29">
    <w:abstractNumId w:val="12"/>
  </w:num>
  <w:num w:numId="30">
    <w:abstractNumId w:val="20"/>
  </w:num>
  <w:num w:numId="31">
    <w:abstractNumId w:val="30"/>
  </w:num>
  <w:num w:numId="32">
    <w:abstractNumId w:val="22"/>
  </w:num>
  <w:num w:numId="33">
    <w:abstractNumId w:val="16"/>
  </w:num>
  <w:num w:numId="34">
    <w:abstractNumId w:val="25"/>
  </w:num>
  <w:num w:numId="35">
    <w:abstractNumId w:val="1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77"/>
    <w:rsid w:val="00000B4C"/>
    <w:rsid w:val="00005BBE"/>
    <w:rsid w:val="000106D0"/>
    <w:rsid w:val="00034336"/>
    <w:rsid w:val="00037CB0"/>
    <w:rsid w:val="000A576B"/>
    <w:rsid w:val="000E3BB9"/>
    <w:rsid w:val="00106AED"/>
    <w:rsid w:val="001D3744"/>
    <w:rsid w:val="00213DA6"/>
    <w:rsid w:val="00216302"/>
    <w:rsid w:val="00236D2D"/>
    <w:rsid w:val="00245A2B"/>
    <w:rsid w:val="002D1C62"/>
    <w:rsid w:val="002D367B"/>
    <w:rsid w:val="00354EC2"/>
    <w:rsid w:val="00397220"/>
    <w:rsid w:val="003B0A38"/>
    <w:rsid w:val="003E2869"/>
    <w:rsid w:val="003E3722"/>
    <w:rsid w:val="004227ED"/>
    <w:rsid w:val="00445BCE"/>
    <w:rsid w:val="00454F25"/>
    <w:rsid w:val="004710B8"/>
    <w:rsid w:val="00533E65"/>
    <w:rsid w:val="0056681E"/>
    <w:rsid w:val="00572AA9"/>
    <w:rsid w:val="00595906"/>
    <w:rsid w:val="005B11F9"/>
    <w:rsid w:val="00631D73"/>
    <w:rsid w:val="006B19BD"/>
    <w:rsid w:val="007B201A"/>
    <w:rsid w:val="007C2143"/>
    <w:rsid w:val="007F3ACD"/>
    <w:rsid w:val="0080133F"/>
    <w:rsid w:val="0080498F"/>
    <w:rsid w:val="00860654"/>
    <w:rsid w:val="00903467"/>
    <w:rsid w:val="00906EAA"/>
    <w:rsid w:val="00970DD2"/>
    <w:rsid w:val="009D15F1"/>
    <w:rsid w:val="009D2B10"/>
    <w:rsid w:val="00A2199C"/>
    <w:rsid w:val="00A2293D"/>
    <w:rsid w:val="00A43896"/>
    <w:rsid w:val="00A6244E"/>
    <w:rsid w:val="00B32277"/>
    <w:rsid w:val="00B41635"/>
    <w:rsid w:val="00B5357A"/>
    <w:rsid w:val="00C503A7"/>
    <w:rsid w:val="00C5215F"/>
    <w:rsid w:val="00CB4A28"/>
    <w:rsid w:val="00D34EA0"/>
    <w:rsid w:val="00DD6907"/>
    <w:rsid w:val="00DD7526"/>
    <w:rsid w:val="00E671C3"/>
    <w:rsid w:val="00E90142"/>
    <w:rsid w:val="00E9269E"/>
    <w:rsid w:val="00F06EE8"/>
    <w:rsid w:val="00F07349"/>
    <w:rsid w:val="00F113EF"/>
    <w:rsid w:val="00F126F3"/>
    <w:rsid w:val="00F22AE5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8DDB"/>
  <w15:chartTrackingRefBased/>
  <w15:docId w15:val="{EEB8C43E-094B-4C8A-8A92-8F8B3336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Hyperlink">
    <w:name w:val="Hyperlink"/>
    <w:basedOn w:val="DefaultParagraphFont"/>
    <w:uiPriority w:val="99"/>
    <w:semiHidden/>
    <w:unhideWhenUsed/>
    <w:rsid w:val="00B32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7169">
          <w:marLeft w:val="0"/>
          <w:marRight w:val="0"/>
          <w:marTop w:val="0"/>
          <w:marBottom w:val="570"/>
          <w:divBdr>
            <w:top w:val="single" w:sz="18" w:space="0" w:color="DADADA"/>
            <w:left w:val="none" w:sz="0" w:space="0" w:color="auto"/>
            <w:bottom w:val="single" w:sz="18" w:space="31" w:color="DADADA"/>
            <w:right w:val="none" w:sz="0" w:space="0" w:color="auto"/>
          </w:divBdr>
          <w:divsChild>
            <w:div w:id="1767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c.co.nz/about/commissioners-and-senior-leadership/paula-tesoriero/" TargetMode="External"/><Relationship Id="rId13" Type="http://schemas.openxmlformats.org/officeDocument/2006/relationships/hyperlink" Target="http://msd.govt.nz/about-msd-and-our-work/work-programmes/accessibility/accessibility-guide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di.govt.nz/guidance-and-resources/disabled-peoples-organisations/?stage=Stage" TargetMode="External"/><Relationship Id="rId12" Type="http://schemas.openxmlformats.org/officeDocument/2006/relationships/hyperlink" Target="https://www.msd.govt.nz/accessibility-char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sd.govt.nz/about-msd-and-our-work/work-programmes/accessibility/accessibility-guide/index.html" TargetMode="External"/><Relationship Id="rId11" Type="http://schemas.openxmlformats.org/officeDocument/2006/relationships/hyperlink" Target="https://ileadchange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di.govt.nz/?stage=St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mbudsman.parliament.n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C567-27EB-4B28-BE2E-C62EFBE6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McLeod</dc:creator>
  <cp:keywords/>
  <dc:description/>
  <cp:lastModifiedBy>Joanna McLeod</cp:lastModifiedBy>
  <cp:revision>1</cp:revision>
  <dcterms:created xsi:type="dcterms:W3CDTF">2022-01-11T03:44:00Z</dcterms:created>
  <dcterms:modified xsi:type="dcterms:W3CDTF">2022-01-11T03:47:00Z</dcterms:modified>
</cp:coreProperties>
</file>